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875" w:rsidRDefault="002D1875" w:rsidP="00C50A76">
      <w:pPr>
        <w:rPr>
          <w:b/>
          <w:bCs/>
          <w:sz w:val="28"/>
          <w:szCs w:val="28"/>
        </w:rPr>
      </w:pPr>
      <w:bookmarkStart w:id="0" w:name="Text72"/>
      <w:bookmarkStart w:id="1" w:name="_GoBack"/>
      <w:bookmarkEnd w:id="1"/>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825AA3" w:rsidP="00C50A76">
      <w:pPr>
        <w:rPr>
          <w:b/>
          <w:bCs/>
          <w:sz w:val="28"/>
          <w:szCs w:val="28"/>
        </w:rPr>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762625" cy="7505700"/>
            <wp:effectExtent l="0" t="0" r="9525" b="0"/>
            <wp:wrapNone/>
            <wp:docPr id="2" name="Obrázek 1" descr="znak kr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 kraje"/>
                    <pic:cNvPicPr>
                      <a:picLocks noChangeAspect="1" noChangeArrowheads="1"/>
                    </pic:cNvPicPr>
                  </pic:nvPicPr>
                  <pic:blipFill>
                    <a:blip r:embed="rId8">
                      <a:lum bright="70000" contrast="-70000"/>
                      <a:extLst>
                        <a:ext uri="{28A0092B-C50C-407E-A947-70E740481C1C}">
                          <a14:useLocalDpi xmlns:a14="http://schemas.microsoft.com/office/drawing/2010/main"/>
                        </a:ext>
                      </a:extLst>
                    </a:blip>
                    <a:srcRect/>
                    <a:stretch>
                      <a:fillRect/>
                    </a:stretch>
                  </pic:blipFill>
                  <pic:spPr bwMode="auto">
                    <a:xfrm>
                      <a:off x="0" y="0"/>
                      <a:ext cx="5762625" cy="7505700"/>
                    </a:xfrm>
                    <a:prstGeom prst="rect">
                      <a:avLst/>
                    </a:prstGeom>
                    <a:noFill/>
                  </pic:spPr>
                </pic:pic>
              </a:graphicData>
            </a:graphic>
            <wp14:sizeRelH relativeFrom="page">
              <wp14:pctWidth>0</wp14:pctWidth>
            </wp14:sizeRelH>
            <wp14:sizeRelV relativeFrom="page">
              <wp14:pctHeight>0</wp14:pctHeight>
            </wp14:sizeRelV>
          </wp:anchor>
        </w:drawing>
      </w:r>
    </w:p>
    <w:p w:rsidR="002D1875" w:rsidRDefault="002D1875" w:rsidP="00C50A76">
      <w:pPr>
        <w:rPr>
          <w:b/>
          <w:bCs/>
          <w:sz w:val="28"/>
          <w:szCs w:val="28"/>
        </w:rPr>
      </w:pPr>
    </w:p>
    <w:p w:rsidR="002D1875" w:rsidRDefault="002D1875" w:rsidP="00C50A76">
      <w:pPr>
        <w:rPr>
          <w:b/>
          <w:bCs/>
          <w:sz w:val="28"/>
          <w:szCs w:val="28"/>
        </w:rPr>
      </w:pPr>
    </w:p>
    <w:p w:rsidR="002D1875" w:rsidRDefault="002D1875" w:rsidP="00FC7AE1">
      <w:pPr>
        <w:spacing w:after="480"/>
        <w:jc w:val="center"/>
        <w:rPr>
          <w:b/>
          <w:bCs/>
          <w:sz w:val="56"/>
          <w:szCs w:val="56"/>
        </w:rPr>
      </w:pPr>
    </w:p>
    <w:p w:rsidR="002D1875" w:rsidRDefault="002D1875" w:rsidP="00FC7AE1">
      <w:pPr>
        <w:spacing w:after="480"/>
        <w:jc w:val="center"/>
        <w:rPr>
          <w:b/>
          <w:bCs/>
          <w:sz w:val="56"/>
          <w:szCs w:val="56"/>
        </w:rPr>
      </w:pPr>
    </w:p>
    <w:p w:rsidR="002D1875" w:rsidRPr="00FC7AE1" w:rsidRDefault="002D1875" w:rsidP="00FC7AE1">
      <w:pPr>
        <w:spacing w:after="480"/>
        <w:jc w:val="center"/>
        <w:rPr>
          <w:b/>
          <w:bCs/>
          <w:sz w:val="56"/>
          <w:szCs w:val="56"/>
        </w:rPr>
      </w:pPr>
      <w:r w:rsidRPr="00FC7AE1">
        <w:rPr>
          <w:b/>
          <w:bCs/>
          <w:sz w:val="56"/>
          <w:szCs w:val="56"/>
        </w:rPr>
        <w:t>ZÁVĚREČNÝ ÚČET</w:t>
      </w:r>
    </w:p>
    <w:p w:rsidR="002D1875" w:rsidRPr="00FC7AE1" w:rsidRDefault="002D1875" w:rsidP="00FC7AE1">
      <w:pPr>
        <w:spacing w:after="480"/>
        <w:jc w:val="center"/>
        <w:rPr>
          <w:b/>
          <w:bCs/>
          <w:sz w:val="56"/>
          <w:szCs w:val="56"/>
        </w:rPr>
      </w:pPr>
      <w:r w:rsidRPr="00FC7AE1">
        <w:rPr>
          <w:b/>
          <w:bCs/>
          <w:sz w:val="56"/>
          <w:szCs w:val="56"/>
        </w:rPr>
        <w:t>STŘEDOČ</w:t>
      </w:r>
      <w:r>
        <w:rPr>
          <w:b/>
          <w:bCs/>
          <w:sz w:val="56"/>
          <w:szCs w:val="56"/>
        </w:rPr>
        <w:t>E</w:t>
      </w:r>
      <w:r w:rsidRPr="00FC7AE1">
        <w:rPr>
          <w:b/>
          <w:bCs/>
          <w:sz w:val="56"/>
          <w:szCs w:val="56"/>
        </w:rPr>
        <w:t>SKÉHO KRAJE</w:t>
      </w:r>
    </w:p>
    <w:p w:rsidR="002D1875" w:rsidRPr="00FC7AE1" w:rsidRDefault="002D1875" w:rsidP="00FC7AE1">
      <w:pPr>
        <w:spacing w:after="480"/>
        <w:jc w:val="center"/>
        <w:rPr>
          <w:b/>
          <w:bCs/>
          <w:sz w:val="56"/>
          <w:szCs w:val="56"/>
        </w:rPr>
      </w:pPr>
      <w:r w:rsidRPr="00FC7AE1">
        <w:rPr>
          <w:b/>
          <w:bCs/>
          <w:sz w:val="56"/>
          <w:szCs w:val="56"/>
        </w:rPr>
        <w:t>ZA ROK 2014</w:t>
      </w: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p>
    <w:p w:rsidR="002D1875" w:rsidRDefault="002D1875" w:rsidP="00C50A76">
      <w:pPr>
        <w:rPr>
          <w:b/>
          <w:bCs/>
          <w:sz w:val="28"/>
          <w:szCs w:val="28"/>
        </w:rPr>
      </w:pPr>
      <w:r w:rsidRPr="00C50A76">
        <w:rPr>
          <w:b/>
          <w:bCs/>
          <w:sz w:val="28"/>
          <w:szCs w:val="28"/>
        </w:rPr>
        <w:lastRenderedPageBreak/>
        <w:t xml:space="preserve">Obsah :        </w:t>
      </w:r>
    </w:p>
    <w:p w:rsidR="002D1875" w:rsidRDefault="002D1875" w:rsidP="00C50A76">
      <w:pPr>
        <w:rPr>
          <w:b/>
          <w:bCs/>
          <w:sz w:val="28"/>
          <w:szCs w:val="28"/>
        </w:rPr>
      </w:pPr>
    </w:p>
    <w:p w:rsidR="002D1875" w:rsidRDefault="00825AA3" w:rsidP="00343A73">
      <w:pPr>
        <w:pStyle w:val="Odstavecseseznamem"/>
        <w:numPr>
          <w:ilvl w:val="0"/>
          <w:numId w:val="14"/>
        </w:numPr>
      </w:pPr>
      <w:r>
        <w:rPr>
          <w:noProof/>
        </w:rPr>
        <mc:AlternateContent>
          <mc:Choice Requires="wps">
            <w:drawing>
              <wp:anchor distT="0" distB="0" distL="114300" distR="114300" simplePos="0" relativeHeight="251657216" behindDoc="0" locked="1" layoutInCell="1" allowOverlap="1">
                <wp:simplePos x="0" y="0"/>
                <wp:positionH relativeFrom="page">
                  <wp:posOffset>461010</wp:posOffset>
                </wp:positionH>
                <wp:positionV relativeFrom="page">
                  <wp:posOffset>4345940</wp:posOffset>
                </wp:positionV>
                <wp:extent cx="6638925" cy="1990725"/>
                <wp:effectExtent l="3810" t="3810" r="0" b="0"/>
                <wp:wrapNone/>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8925" cy="19907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CC8C1" id="AutoShape 3" o:spid="_x0000_s1026" style="position:absolute;margin-left:36.3pt;margin-top:342.2pt;width:522.75pt;height:156.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" filled="f" stroked="f">
                <o:lock v:ext="edit" aspectratio="t"/>
                <w10:wrap anchorx="page" anchory="page"/>
                <w10:anchorlock/>
              </v:rect>
            </w:pict>
          </mc:Fallback>
        </mc:AlternateContent>
      </w:r>
      <w:r w:rsidR="002D1875">
        <w:t>Zpráva o hospodaření Středočeského kraje za rok 2014</w:t>
      </w:r>
    </w:p>
    <w:p w:rsidR="002D1875" w:rsidRDefault="002D1875" w:rsidP="00343A73">
      <w:pPr>
        <w:pStyle w:val="Odstavecseseznamem"/>
        <w:numPr>
          <w:ilvl w:val="0"/>
          <w:numId w:val="14"/>
        </w:numPr>
      </w:pPr>
      <w:r>
        <w:t>Čerpání rozpočtu Středočeského kraje za rok 2014</w:t>
      </w:r>
    </w:p>
    <w:p w:rsidR="002D1875" w:rsidRDefault="002D1875" w:rsidP="00343A73">
      <w:pPr>
        <w:pStyle w:val="Odstavecseseznamem"/>
        <w:numPr>
          <w:ilvl w:val="0"/>
          <w:numId w:val="14"/>
        </w:numPr>
      </w:pPr>
      <w:r>
        <w:t xml:space="preserve">Upravený rozpočet SK za rok 2014   </w:t>
      </w:r>
    </w:p>
    <w:p w:rsidR="002D1875" w:rsidRDefault="002D1875" w:rsidP="00343A73">
      <w:pPr>
        <w:pStyle w:val="Odstavecseseznamem"/>
        <w:numPr>
          <w:ilvl w:val="0"/>
          <w:numId w:val="14"/>
        </w:numPr>
      </w:pPr>
      <w:r>
        <w:t>Čerpání rozpočtu Středočeského kraje za rok 2014 - organizace</w:t>
      </w:r>
    </w:p>
    <w:p w:rsidR="002D1875" w:rsidRDefault="002D1875" w:rsidP="00343A73">
      <w:pPr>
        <w:pStyle w:val="Odstavecseseznamem"/>
        <w:numPr>
          <w:ilvl w:val="0"/>
          <w:numId w:val="14"/>
        </w:numPr>
      </w:pPr>
      <w:r>
        <w:t>Rozdělení zůstatku hospodaření Středočeského kraje z roku 2014</w:t>
      </w:r>
    </w:p>
    <w:p w:rsidR="002D1875" w:rsidRDefault="002D1875" w:rsidP="00343A73">
      <w:pPr>
        <w:pStyle w:val="Odstavecseseznamem"/>
        <w:numPr>
          <w:ilvl w:val="0"/>
          <w:numId w:val="14"/>
        </w:numPr>
      </w:pPr>
      <w:r>
        <w:t xml:space="preserve">Finanční výkaz o plnění rozpočtu Fin 2-12 M k 31.12.2014 </w:t>
      </w:r>
    </w:p>
    <w:p w:rsidR="002D1875" w:rsidRDefault="002D1875" w:rsidP="00343A73">
      <w:pPr>
        <w:pStyle w:val="Odstavecseseznamem"/>
        <w:numPr>
          <w:ilvl w:val="0"/>
          <w:numId w:val="14"/>
        </w:numPr>
      </w:pPr>
      <w:r>
        <w:t xml:space="preserve">Finanční vypořádání dotací  – Ministerstvo zemědělství ČR </w:t>
      </w:r>
    </w:p>
    <w:p w:rsidR="002D1875" w:rsidRDefault="002D1875" w:rsidP="00343A73">
      <w:pPr>
        <w:pStyle w:val="Odstavecseseznamem"/>
        <w:numPr>
          <w:ilvl w:val="0"/>
          <w:numId w:val="14"/>
        </w:numPr>
      </w:pPr>
      <w:r>
        <w:t>Finanční vypořádání dotací  – Ministerstvo práce a sociálních věcí ČR</w:t>
      </w:r>
    </w:p>
    <w:p w:rsidR="002D1875" w:rsidRDefault="002D1875" w:rsidP="00343A73">
      <w:pPr>
        <w:pStyle w:val="Odstavecseseznamem"/>
        <w:numPr>
          <w:ilvl w:val="0"/>
          <w:numId w:val="14"/>
        </w:numPr>
      </w:pPr>
      <w:r>
        <w:t>Finanční vypořádání dotací  – Ministerstvo pro místní rozvoj ČR</w:t>
      </w:r>
    </w:p>
    <w:p w:rsidR="002D1875" w:rsidRDefault="002D1875" w:rsidP="00343A73">
      <w:pPr>
        <w:pStyle w:val="Odstavecseseznamem"/>
        <w:numPr>
          <w:ilvl w:val="0"/>
          <w:numId w:val="14"/>
        </w:numPr>
      </w:pPr>
      <w:r>
        <w:t>Finanční vypořádání dotací  – Ministerstvo vnitra ČR</w:t>
      </w:r>
    </w:p>
    <w:p w:rsidR="002D1875" w:rsidRDefault="002D1875" w:rsidP="00343A73">
      <w:pPr>
        <w:pStyle w:val="Odstavecseseznamem"/>
        <w:numPr>
          <w:ilvl w:val="0"/>
          <w:numId w:val="14"/>
        </w:numPr>
      </w:pPr>
      <w:r>
        <w:t>Finanční vypořádání dotací  – Ministerstvo životního prostředí a zemědělství ČR</w:t>
      </w:r>
    </w:p>
    <w:p w:rsidR="002D1875" w:rsidRDefault="002D1875" w:rsidP="00343A73">
      <w:pPr>
        <w:pStyle w:val="Odstavecseseznamem"/>
        <w:numPr>
          <w:ilvl w:val="0"/>
          <w:numId w:val="14"/>
        </w:numPr>
      </w:pPr>
      <w:r>
        <w:t>Finanční vypořádání dotací  – Ministerstvo průmyslu a obchodu ČR</w:t>
      </w:r>
    </w:p>
    <w:p w:rsidR="002D1875" w:rsidRDefault="002D1875" w:rsidP="00343A73">
      <w:pPr>
        <w:pStyle w:val="Odstavecseseznamem"/>
        <w:numPr>
          <w:ilvl w:val="0"/>
          <w:numId w:val="14"/>
        </w:numPr>
      </w:pPr>
      <w:r>
        <w:t>Finanční vypořádání dotací  – Ministerstvo dopravy ČR</w:t>
      </w:r>
    </w:p>
    <w:p w:rsidR="002D1875" w:rsidRDefault="002D1875" w:rsidP="00343A73">
      <w:pPr>
        <w:pStyle w:val="Odstavecseseznamem"/>
        <w:numPr>
          <w:ilvl w:val="0"/>
          <w:numId w:val="14"/>
        </w:numPr>
      </w:pPr>
      <w:r>
        <w:t>Finanční vypořádání dotací  – Ministerstvo školství, mládeže a tělovýchovy ČR</w:t>
      </w:r>
    </w:p>
    <w:p w:rsidR="002D1875" w:rsidRDefault="002D1875" w:rsidP="00343A73">
      <w:pPr>
        <w:pStyle w:val="Odstavecseseznamem"/>
        <w:numPr>
          <w:ilvl w:val="0"/>
          <w:numId w:val="14"/>
        </w:numPr>
      </w:pPr>
      <w:r>
        <w:t>Finanční vypořádání dotací  – Ministerstvo kultury ČR</w:t>
      </w:r>
    </w:p>
    <w:p w:rsidR="002D1875" w:rsidRDefault="002D1875" w:rsidP="00343A73">
      <w:pPr>
        <w:pStyle w:val="Odstavecseseznamem"/>
        <w:numPr>
          <w:ilvl w:val="0"/>
          <w:numId w:val="14"/>
        </w:numPr>
      </w:pPr>
      <w:r>
        <w:t>Finanční vypořádání dotací  – Ministerstvo zdravotnictví ČR</w:t>
      </w:r>
    </w:p>
    <w:p w:rsidR="002D1875" w:rsidRDefault="002D1875" w:rsidP="00343A73">
      <w:pPr>
        <w:pStyle w:val="Odstavecseseznamem"/>
        <w:numPr>
          <w:ilvl w:val="0"/>
          <w:numId w:val="14"/>
        </w:numPr>
      </w:pPr>
      <w:r>
        <w:t>Finanční vypořádání dotací  – Ministerstvo financí ČR</w:t>
      </w:r>
    </w:p>
    <w:p w:rsidR="002D1875" w:rsidRDefault="002D1875" w:rsidP="00343A73">
      <w:pPr>
        <w:pStyle w:val="Odstavecseseznamem"/>
        <w:numPr>
          <w:ilvl w:val="0"/>
          <w:numId w:val="14"/>
        </w:numPr>
      </w:pPr>
      <w:r>
        <w:t>Zpráva o výsledku přezkoumání hospodaření Středočeského kraje za rok 2014</w:t>
      </w:r>
    </w:p>
    <w:p w:rsidR="002D1875" w:rsidRDefault="002D1875" w:rsidP="00343A73">
      <w:pPr>
        <w:pStyle w:val="Odstavecseseznamem"/>
        <w:numPr>
          <w:ilvl w:val="0"/>
          <w:numId w:val="14"/>
        </w:numPr>
      </w:pPr>
      <w:r>
        <w:t>Nápravná opatření k chybám a nedostatkům</w:t>
      </w:r>
    </w:p>
    <w:p w:rsidR="002D1875" w:rsidRPr="00C50A76" w:rsidRDefault="002D1875" w:rsidP="00BB1AB0">
      <w:pPr>
        <w:pStyle w:val="Odstavecseseznamem"/>
        <w:ind w:left="360"/>
      </w:pPr>
      <w:r w:rsidRPr="00C50A76">
        <w:br w:type="page"/>
      </w:r>
    </w:p>
    <w:p w:rsidR="002D1875" w:rsidRDefault="002D1875" w:rsidP="00863E40">
      <w:pPr>
        <w:ind w:left="4320"/>
        <w:jc w:val="both"/>
      </w:pPr>
      <w:r>
        <w:lastRenderedPageBreak/>
        <w:t xml:space="preserve">                                                                Příloha č.1 </w:t>
      </w:r>
    </w:p>
    <w:p w:rsidR="002D1875" w:rsidRPr="009B5391" w:rsidRDefault="002D1875" w:rsidP="00863E40">
      <w:pPr>
        <w:ind w:left="4320"/>
        <w:jc w:val="both"/>
        <w:rPr>
          <w:b/>
          <w:bCs/>
          <w:noProof/>
          <w:sz w:val="22"/>
          <w:szCs w:val="22"/>
        </w:rPr>
      </w:pPr>
      <w:r>
        <w:t xml:space="preserve"> </w:t>
      </w:r>
      <w:r w:rsidR="00386CEA" w:rsidRPr="009B5391">
        <w:fldChar w:fldCharType="begin" w:fldLock="1">
          <w:ffData>
            <w:name w:val="Text95"/>
            <w:enabled/>
            <w:calcOnExit w:val="0"/>
            <w:statusText w:type="text" w:val="MSWField: DZP_RTF_PRED"/>
            <w:textInput/>
          </w:ffData>
        </w:fldChar>
      </w:r>
      <w:r w:rsidRPr="009B5391">
        <w:instrText xml:space="preserve">FORMTEXT </w:instrText>
      </w:r>
      <w:r w:rsidR="00386CEA" w:rsidRPr="009B5391">
        <w:fldChar w:fldCharType="separate"/>
      </w:r>
    </w:p>
    <w:p w:rsidR="002D1875" w:rsidRPr="009B5391" w:rsidRDefault="002D1875" w:rsidP="00863E40">
      <w:pPr>
        <w:keepNext/>
        <w:widowControl/>
        <w:spacing w:before="240" w:after="60"/>
        <w:jc w:val="both"/>
        <w:outlineLvl w:val="9"/>
        <w:rPr>
          <w:b/>
          <w:bCs/>
          <w:noProof/>
          <w:sz w:val="28"/>
          <w:szCs w:val="28"/>
        </w:rPr>
      </w:pPr>
      <w:r w:rsidRPr="009B5391">
        <w:rPr>
          <w:b/>
          <w:bCs/>
          <w:noProof/>
          <w:sz w:val="28"/>
          <w:szCs w:val="28"/>
        </w:rPr>
        <w:t>Zpráva o hospodaření  Středočeského kraje za rok 2014</w:t>
      </w:r>
    </w:p>
    <w:p w:rsidR="002D1875" w:rsidRPr="009B5391" w:rsidRDefault="002D1875" w:rsidP="00863E40">
      <w:pPr>
        <w:widowControl/>
        <w:jc w:val="both"/>
        <w:outlineLvl w:val="9"/>
        <w:rPr>
          <w:b/>
          <w:bCs/>
          <w:noProof/>
          <w:sz w:val="22"/>
          <w:szCs w:val="22"/>
        </w:rPr>
      </w:pPr>
    </w:p>
    <w:p w:rsidR="002D1875" w:rsidRPr="009B5391" w:rsidRDefault="002D1875" w:rsidP="00863E40">
      <w:pPr>
        <w:widowControl/>
        <w:jc w:val="both"/>
        <w:outlineLvl w:val="9"/>
        <w:rPr>
          <w:b/>
          <w:bCs/>
          <w:noProof/>
          <w:sz w:val="22"/>
          <w:szCs w:val="22"/>
        </w:rPr>
      </w:pPr>
    </w:p>
    <w:p w:rsidR="002D1875" w:rsidRPr="009B5391" w:rsidRDefault="002D1875" w:rsidP="00863E40">
      <w:pPr>
        <w:widowControl/>
        <w:jc w:val="both"/>
        <w:outlineLvl w:val="9"/>
        <w:rPr>
          <w:b/>
          <w:bCs/>
          <w:noProof/>
          <w:sz w:val="22"/>
          <w:szCs w:val="22"/>
        </w:rPr>
      </w:pPr>
    </w:p>
    <w:tbl>
      <w:tblPr>
        <w:tblW w:w="9540" w:type="dxa"/>
        <w:tblCellSpacing w:w="-8" w:type="dxa"/>
        <w:tblLayout w:type="fixed"/>
        <w:tblCellMar>
          <w:left w:w="0" w:type="dxa"/>
          <w:right w:w="0" w:type="dxa"/>
        </w:tblCellMar>
        <w:tblLook w:val="0000" w:firstRow="0" w:lastRow="0" w:firstColumn="0" w:lastColumn="0" w:noHBand="0" w:noVBand="0"/>
      </w:tblPr>
      <w:tblGrid>
        <w:gridCol w:w="9540"/>
      </w:tblGrid>
      <w:tr w:rsidR="002D1875" w:rsidRPr="009B5391">
        <w:trPr>
          <w:trHeight w:val="750"/>
          <w:tblCellSpacing w:w="-8" w:type="dxa"/>
        </w:trPr>
        <w:tc>
          <w:tcPr>
            <w:tcW w:w="9572" w:type="dxa"/>
            <w:tcBorders>
              <w:top w:val="nil"/>
              <w:left w:val="nil"/>
              <w:bottom w:val="nil"/>
              <w:right w:val="nil"/>
            </w:tcBorders>
          </w:tcPr>
          <w:p w:rsidR="002D1875" w:rsidRPr="009B5391" w:rsidRDefault="002D1875" w:rsidP="00863E40">
            <w:pPr>
              <w:spacing w:before="120" w:after="120"/>
              <w:jc w:val="both"/>
              <w:rPr>
                <w:noProof/>
              </w:rPr>
            </w:pPr>
            <w:r w:rsidRPr="009B5391">
              <w:rPr>
                <w:noProof/>
              </w:rPr>
              <w:t>Rozpočet Středočeského kraje na rok 2014 byl schválen usnesením Zastupitelstva kraje č. 4-9/2013/ZK ze dne 9.12.2013 s příjmy v celkové výši 15 958 906,00 tis. Kč a výdaji v celkové výši 15 929 419,00 tis. Kč. Rozdíl mezi příjmy a výdaji byl kryt financováním ve výši 29 487,00 tis. Kč.</w:t>
            </w:r>
          </w:p>
          <w:p w:rsidR="002D1875" w:rsidRPr="009B5391" w:rsidRDefault="002D1875" w:rsidP="00863E40">
            <w:pPr>
              <w:spacing w:before="120" w:after="120"/>
              <w:jc w:val="both"/>
              <w:rPr>
                <w:noProof/>
              </w:rPr>
            </w:pPr>
            <w:r w:rsidRPr="009B5391">
              <w:rPr>
                <w:noProof/>
              </w:rPr>
              <w:t xml:space="preserve">V průběhu roku 2014 došlo na základě rozpočtových opatření schválených Radou kraje a Zastupitelstvem kraje k úpravě zdrojové i výdajové části rozpočtu. Upravený rozpočet v příjmové části činí 18 600 893,99 tis. Kč, ve výdajové 19 467 670,95 tis. Kč. Rozdíl je kryt financováním ve výši 866 776,96 tis. Kč. </w:t>
            </w:r>
          </w:p>
          <w:p w:rsidR="002D1875" w:rsidRPr="009B5391" w:rsidRDefault="002D1875" w:rsidP="00863E40">
            <w:pPr>
              <w:spacing w:before="120" w:after="120"/>
              <w:jc w:val="both"/>
              <w:rPr>
                <w:noProof/>
              </w:rPr>
            </w:pPr>
            <w:r w:rsidRPr="009B5391">
              <w:rPr>
                <w:noProof/>
              </w:rPr>
              <w:t xml:space="preserve">Financování upraveného rozpočtu Středočeského kraje (rozdíl mezi příjmy a výdaji) je kryto finančními prostředky z minulých let a současně je zde zahrnuta splátka jistiny úvěru, což rozpočet financování snižuje. </w:t>
            </w:r>
          </w:p>
          <w:p w:rsidR="002D1875" w:rsidRPr="009B5391" w:rsidRDefault="002D1875" w:rsidP="00863E40">
            <w:pPr>
              <w:spacing w:before="120" w:after="120"/>
              <w:jc w:val="both"/>
              <w:rPr>
                <w:b/>
                <w:bCs/>
                <w:noProof/>
              </w:rPr>
            </w:pPr>
            <w:r w:rsidRPr="009B5391">
              <w:rPr>
                <w:noProof/>
              </w:rPr>
              <w:t>Jedná se o splátky úvěru, který Středočeský kraj splácí na základě Smlouvy o úvěru uzavřené s Komerční bankou a.s. dne 12. 9. 2007. Úvěr je splácen v pravidelných čtvrtletních splátkách. V roce 2014 činily tyto splátky 239 486,82 tis. Kč.</w:t>
            </w:r>
          </w:p>
          <w:p w:rsidR="002D1875" w:rsidRPr="009B5391" w:rsidRDefault="002D1875" w:rsidP="00863E40">
            <w:pPr>
              <w:spacing w:before="120" w:after="120"/>
              <w:jc w:val="both"/>
              <w:rPr>
                <w:b/>
                <w:bCs/>
                <w:noProof/>
              </w:rPr>
            </w:pPr>
            <w:r w:rsidRPr="009B5391">
              <w:rPr>
                <w:b/>
                <w:bCs/>
                <w:noProof/>
              </w:rPr>
              <w:t>Za období leden až prosinec roku 2014 činily příjmy po konsolidaci 18 879 798,95 tis. Kč a byly naplněny na 101,5 % upraveného rozpočtu. V porovnání s rokem 2013 došlo k nárůstu příjmů o 2,1%.</w:t>
            </w:r>
          </w:p>
          <w:p w:rsidR="00B04F37" w:rsidRDefault="00B04F37" w:rsidP="00863E40">
            <w:pPr>
              <w:spacing w:before="120" w:after="120"/>
              <w:jc w:val="both"/>
              <w:rPr>
                <w:noProof/>
                <w:u w:val="single"/>
              </w:rPr>
            </w:pPr>
          </w:p>
          <w:p w:rsidR="00B04F37" w:rsidRDefault="00B04F37" w:rsidP="00863E40">
            <w:pPr>
              <w:spacing w:before="120" w:after="120"/>
              <w:jc w:val="both"/>
              <w:rPr>
                <w:noProof/>
                <w:u w:val="single"/>
              </w:rPr>
            </w:pPr>
          </w:p>
          <w:p w:rsidR="002D1875" w:rsidRPr="009B5391" w:rsidRDefault="002D1875" w:rsidP="00863E40">
            <w:pPr>
              <w:spacing w:before="120" w:after="120"/>
              <w:jc w:val="both"/>
              <w:rPr>
                <w:noProof/>
                <w:u w:val="single"/>
              </w:rPr>
            </w:pPr>
            <w:r w:rsidRPr="009B5391">
              <w:rPr>
                <w:noProof/>
                <w:u w:val="single"/>
              </w:rPr>
              <w:t>Struktura příjmů Středočeského kraje v roce 2014 (v tis. Kč):</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2546"/>
              <w:gridCol w:w="1985"/>
            </w:tblGrid>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u w:val="single"/>
                    </w:rPr>
                  </w:pP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u w:val="single"/>
                    </w:rPr>
                  </w:pPr>
                  <w:r w:rsidRPr="009B5391">
                    <w:rPr>
                      <w:noProof/>
                    </w:rPr>
                    <w:t>Rozpočet po změnách</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rPr>
                  </w:pPr>
                  <w:r w:rsidRPr="009B5391">
                    <w:rPr>
                      <w:noProof/>
                    </w:rPr>
                    <w:t xml:space="preserve">Skutečnost </w:t>
                  </w:r>
                </w:p>
                <w:p w:rsidR="002D1875" w:rsidRPr="009B5391" w:rsidRDefault="002D1875" w:rsidP="00863E40">
                  <w:pPr>
                    <w:jc w:val="both"/>
                    <w:rPr>
                      <w:noProof/>
                      <w:u w:val="single"/>
                    </w:rPr>
                  </w:pPr>
                </w:p>
              </w:tc>
            </w:tr>
            <w:tr w:rsidR="002D1875" w:rsidRPr="009B5391" w:rsidTr="00750D8B">
              <w:trPr>
                <w:trHeight w:val="408"/>
              </w:trPr>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u w:val="single"/>
                    </w:rPr>
                  </w:pPr>
                  <w:r w:rsidRPr="009B5391">
                    <w:rPr>
                      <w:noProof/>
                    </w:rPr>
                    <w:t>Vlastní příjmy</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 xml:space="preserve">  6 674 206,45</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 xml:space="preserve"> 7 237 234,19</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u w:val="single"/>
                    </w:rPr>
                  </w:pPr>
                  <w:r w:rsidRPr="009B5391">
                    <w:rPr>
                      <w:noProof/>
                    </w:rPr>
                    <w:t xml:space="preserve"> z toho: daňové</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6 634 066,90</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 xml:space="preserve"> 7 005 298,51</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ind w:left="743"/>
                    <w:jc w:val="both"/>
                    <w:rPr>
                      <w:noProof/>
                      <w:u w:val="single"/>
                    </w:rPr>
                  </w:pPr>
                  <w:r w:rsidRPr="009B5391">
                    <w:rPr>
                      <w:noProof/>
                    </w:rPr>
                    <w:t>nedaňové</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 xml:space="preserve">   330 139,55</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 xml:space="preserve">    226 282,79</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ind w:left="743"/>
                    <w:jc w:val="both"/>
                    <w:rPr>
                      <w:noProof/>
                      <w:u w:val="single"/>
                    </w:rPr>
                  </w:pPr>
                  <w:r w:rsidRPr="009B5391">
                    <w:rPr>
                      <w:noProof/>
                    </w:rPr>
                    <w:t>kapitálové</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 xml:space="preserve">     10 000,00</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u w:val="single"/>
                    </w:rPr>
                  </w:pPr>
                  <w:r w:rsidRPr="009B5391">
                    <w:rPr>
                      <w:noProof/>
                    </w:rPr>
                    <w:t>5 652,89</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rPr>
                  </w:pPr>
                  <w:r w:rsidRPr="009B5391">
                    <w:rPr>
                      <w:noProof/>
                    </w:rPr>
                    <w:t>Transfery</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11 626 687,54</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11 642 564,76</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rPr>
                  </w:pPr>
                  <w:r w:rsidRPr="009B5391">
                    <w:rPr>
                      <w:noProof/>
                    </w:rPr>
                    <w:t>Příjmy celkem po konsolidaci</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18 600 893,99</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noProof/>
                    </w:rPr>
                    <w:t>18 879 798,95</w:t>
                  </w:r>
                </w:p>
              </w:tc>
            </w:tr>
            <w:tr w:rsidR="002D1875" w:rsidRPr="009B5391" w:rsidTr="00750D8B">
              <w:tc>
                <w:tcPr>
                  <w:tcW w:w="4962" w:type="dxa"/>
                  <w:tcBorders>
                    <w:top w:val="single" w:sz="4" w:space="0" w:color="auto"/>
                    <w:left w:val="single" w:sz="4" w:space="0" w:color="auto"/>
                    <w:bottom w:val="single" w:sz="4" w:space="0" w:color="auto"/>
                    <w:right w:val="single" w:sz="4" w:space="0" w:color="auto"/>
                  </w:tcBorders>
                </w:tcPr>
                <w:p w:rsidR="002D1875" w:rsidRPr="009B5391" w:rsidRDefault="002D1875" w:rsidP="00863E40">
                  <w:pPr>
                    <w:jc w:val="both"/>
                    <w:rPr>
                      <w:noProof/>
                    </w:rPr>
                  </w:pPr>
                  <w:r w:rsidRPr="009B5391">
                    <w:rPr>
                      <w:i/>
                      <w:iCs/>
                      <w:noProof/>
                    </w:rPr>
                    <w:t>Příjmy celkem po konsolidaci v roce 2013</w:t>
                  </w:r>
                </w:p>
              </w:tc>
              <w:tc>
                <w:tcPr>
                  <w:tcW w:w="2546"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i/>
                      <w:iCs/>
                      <w:noProof/>
                    </w:rPr>
                    <w:t>18 355 966,66</w:t>
                  </w:r>
                </w:p>
              </w:tc>
              <w:tc>
                <w:tcPr>
                  <w:tcW w:w="1985" w:type="dxa"/>
                  <w:tcBorders>
                    <w:top w:val="single" w:sz="4" w:space="0" w:color="auto"/>
                    <w:left w:val="single" w:sz="4" w:space="0" w:color="auto"/>
                    <w:bottom w:val="single" w:sz="4" w:space="0" w:color="auto"/>
                    <w:right w:val="single" w:sz="4" w:space="0" w:color="auto"/>
                  </w:tcBorders>
                </w:tcPr>
                <w:p w:rsidR="002D1875" w:rsidRPr="009B5391" w:rsidRDefault="002D1875" w:rsidP="00AF7B34">
                  <w:pPr>
                    <w:jc w:val="right"/>
                    <w:rPr>
                      <w:noProof/>
                    </w:rPr>
                  </w:pPr>
                  <w:r w:rsidRPr="009B5391">
                    <w:rPr>
                      <w:i/>
                      <w:iCs/>
                      <w:noProof/>
                    </w:rPr>
                    <w:t>18 500 433,82</w:t>
                  </w:r>
                </w:p>
              </w:tc>
            </w:tr>
          </w:tbl>
          <w:p w:rsidR="002D1875" w:rsidRPr="009B5391" w:rsidRDefault="002D1875" w:rsidP="00863E40">
            <w:pPr>
              <w:spacing w:before="120" w:after="120"/>
              <w:jc w:val="both"/>
              <w:rPr>
                <w:noProof/>
              </w:rPr>
            </w:pPr>
            <w:r w:rsidRPr="009B5391">
              <w:rPr>
                <w:noProof/>
              </w:rPr>
              <w:t>Vlastní příjmy byly v tomto období naplněny na 103,8 % upraveného rozpočtu, podíl daňových příjmů na vlastních příjmech činil 96,8 %, podíl nedaňových příjmů činil 3,1 %.</w:t>
            </w:r>
          </w:p>
          <w:p w:rsidR="002D1875" w:rsidRPr="009B5391" w:rsidRDefault="002D1875" w:rsidP="00863E40">
            <w:pPr>
              <w:spacing w:before="120" w:after="120"/>
              <w:jc w:val="both"/>
              <w:rPr>
                <w:noProof/>
              </w:rPr>
            </w:pPr>
            <w:r w:rsidRPr="009B5391">
              <w:rPr>
                <w:noProof/>
              </w:rPr>
              <w:t>Významným příjmem byly v roce 2014 daňové příjmy v objemu 7 005 298,51 tis. Kč, které byly v tomto období naplněny na 105,6 % upravného rozpočtu a přijaté transfery, které byly naplněny na 100,1 %.</w:t>
            </w:r>
          </w:p>
          <w:p w:rsidR="002D1875" w:rsidRPr="009B5391" w:rsidRDefault="002D1875" w:rsidP="00863E40">
            <w:pPr>
              <w:spacing w:before="120" w:after="120"/>
              <w:jc w:val="both"/>
              <w:rPr>
                <w:noProof/>
              </w:rPr>
            </w:pPr>
            <w:r w:rsidRPr="009B5391">
              <w:rPr>
                <w:noProof/>
              </w:rPr>
              <w:t>V oblasti vlastních přímů došlo v roce 2014 v porovnání s rokem 2013 k nárůstu daňových příjmů o 5,7 %, k poklesu nedaňových příjmů o 22,1% a nárůstu kapitálových příjmů o 29,8 %.</w:t>
            </w:r>
          </w:p>
          <w:p w:rsidR="002D1875" w:rsidRPr="009B5391" w:rsidRDefault="002D1875" w:rsidP="00863E40">
            <w:pPr>
              <w:spacing w:before="120" w:after="120"/>
              <w:jc w:val="both"/>
              <w:rPr>
                <w:noProof/>
                <w:u w:val="single"/>
              </w:rPr>
            </w:pPr>
          </w:p>
          <w:p w:rsidR="002D1875" w:rsidRPr="009B5391" w:rsidRDefault="002D1875" w:rsidP="00863E40">
            <w:pPr>
              <w:spacing w:before="120" w:after="120"/>
              <w:jc w:val="both"/>
              <w:rPr>
                <w:noProof/>
                <w:u w:val="single"/>
              </w:rPr>
            </w:pPr>
            <w:r w:rsidRPr="009B5391">
              <w:rPr>
                <w:noProof/>
                <w:u w:val="single"/>
              </w:rPr>
              <w:t>Struktura daňových příjmů Středočeského kraje v roce 2014 (v tis. Kč)</w:t>
            </w:r>
          </w:p>
          <w:tbl>
            <w:tblPr>
              <w:tblW w:w="9490" w:type="dxa"/>
              <w:tblCellSpacing w:w="-8" w:type="dxa"/>
              <w:tblLayout w:type="fixed"/>
              <w:tblCellMar>
                <w:top w:w="30" w:type="dxa"/>
                <w:left w:w="30" w:type="dxa"/>
                <w:bottom w:w="30" w:type="dxa"/>
                <w:right w:w="30" w:type="dxa"/>
              </w:tblCellMar>
              <w:tblLook w:val="0000" w:firstRow="0" w:lastRow="0" w:firstColumn="0" w:lastColumn="0" w:noHBand="0" w:noVBand="0"/>
            </w:tblPr>
            <w:tblGrid>
              <w:gridCol w:w="5133"/>
              <w:gridCol w:w="2230"/>
              <w:gridCol w:w="2127"/>
            </w:tblGrid>
            <w:tr w:rsidR="002D1875" w:rsidRPr="009B5391" w:rsidTr="00750D8B">
              <w:trPr>
                <w:trHeight w:val="330"/>
                <w:tblCellSpacing w:w="-8" w:type="dxa"/>
              </w:trPr>
              <w:tc>
                <w:tcPr>
                  <w:tcW w:w="5157" w:type="dxa"/>
                  <w:tcBorders>
                    <w:top w:val="single" w:sz="6" w:space="0" w:color="auto"/>
                    <w:left w:val="single" w:sz="6" w:space="0" w:color="auto"/>
                    <w:bottom w:val="single" w:sz="6" w:space="0" w:color="auto"/>
                    <w:right w:val="single" w:sz="6" w:space="0" w:color="auto"/>
                  </w:tcBorders>
                  <w:vAlign w:val="center"/>
                </w:tcPr>
                <w:p w:rsidR="002D1875" w:rsidRPr="009B5391" w:rsidRDefault="002D1875" w:rsidP="00863E40">
                  <w:pPr>
                    <w:jc w:val="both"/>
                    <w:rPr>
                      <w:b/>
                      <w:bCs/>
                      <w:i/>
                      <w:iCs/>
                      <w:noProof/>
                    </w:rPr>
                  </w:pPr>
                  <w:r w:rsidRPr="009B5391">
                    <w:rPr>
                      <w:b/>
                      <w:bCs/>
                      <w:i/>
                      <w:iCs/>
                      <w:noProof/>
                    </w:rPr>
                    <w:lastRenderedPageBreak/>
                    <w:t> </w:t>
                  </w:r>
                </w:p>
              </w:tc>
              <w:tc>
                <w:tcPr>
                  <w:tcW w:w="2246"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Rozpočet po změnách</w:t>
                  </w:r>
                </w:p>
              </w:tc>
              <w:tc>
                <w:tcPr>
                  <w:tcW w:w="2151"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Skutečnost</w:t>
                  </w:r>
                </w:p>
              </w:tc>
            </w:tr>
            <w:tr w:rsidR="002D1875" w:rsidRPr="009B5391" w:rsidTr="00750D8B">
              <w:trPr>
                <w:trHeight w:val="330"/>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Daň z příjmů fyzických osob ze závislé činnosti</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1 637 796,12</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1 561 475,65</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Daň z příjmů fyzických osob ze sam. výdělečné činnosti</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41 288,70</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14 072,11</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Daň z příjmů fyzických osob z kapitálových výnosů</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165 155,80</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180 435,04</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Daň z příjmů právnických osob</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1 458 877,42</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1 727 123,52</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xml:space="preserve">Daň z příjmů právnických osob za kraj </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14 066,90</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14 066,90</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Daň z přidané hodnoty</w:t>
                  </w:r>
                </w:p>
              </w:tc>
              <w:tc>
                <w:tcPr>
                  <w:tcW w:w="2246"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3 316 881,96</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3 504 149,97</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Správní poplatky</w:t>
                  </w:r>
                </w:p>
              </w:tc>
              <w:tc>
                <w:tcPr>
                  <w:tcW w:w="2246" w:type="dxa"/>
                  <w:tcBorders>
                    <w:top w:val="nil"/>
                    <w:left w:val="nil"/>
                    <w:bottom w:val="single" w:sz="6" w:space="0" w:color="auto"/>
                    <w:right w:val="single" w:sz="6" w:space="0" w:color="auto"/>
                  </w:tcBorders>
                  <w:vAlign w:val="center"/>
                </w:tcPr>
                <w:p w:rsidR="002D1875" w:rsidRPr="009B5391" w:rsidRDefault="002D1875" w:rsidP="00867614">
                  <w:pPr>
                    <w:jc w:val="right"/>
                    <w:rPr>
                      <w:noProof/>
                    </w:rPr>
                  </w:pPr>
                  <w:r w:rsidRPr="009B5391">
                    <w:rPr>
                      <w:noProof/>
                    </w:rPr>
                    <w:t>-</w:t>
                  </w:r>
                </w:p>
              </w:tc>
              <w:tc>
                <w:tcPr>
                  <w:tcW w:w="2151"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3 975,32</w:t>
                  </w:r>
                </w:p>
              </w:tc>
            </w:tr>
          </w:tbl>
          <w:p w:rsidR="00B04F37" w:rsidRDefault="00B04F37" w:rsidP="00863E40">
            <w:pPr>
              <w:spacing w:before="120" w:after="120"/>
              <w:jc w:val="both"/>
              <w:rPr>
                <w:noProof/>
              </w:rPr>
            </w:pPr>
          </w:p>
          <w:p w:rsidR="002D1875" w:rsidRPr="009B5391" w:rsidRDefault="002D1875" w:rsidP="00863E40">
            <w:pPr>
              <w:spacing w:before="120" w:after="120"/>
              <w:jc w:val="both"/>
              <w:rPr>
                <w:noProof/>
              </w:rPr>
            </w:pPr>
            <w:r w:rsidRPr="009B5391">
              <w:rPr>
                <w:noProof/>
              </w:rPr>
              <w:t xml:space="preserve">Příjmy z daní dle zákona o rozpočtovém určení daní  byly naplněny na 105,5 % upraveného rozpočtu. </w:t>
            </w:r>
          </w:p>
          <w:p w:rsidR="002D1875" w:rsidRPr="009B5391" w:rsidRDefault="002D1875" w:rsidP="00863E40">
            <w:pPr>
              <w:spacing w:before="120" w:after="120"/>
              <w:jc w:val="both"/>
              <w:rPr>
                <w:noProof/>
              </w:rPr>
            </w:pPr>
            <w:r w:rsidRPr="009B5391">
              <w:rPr>
                <w:noProof/>
              </w:rPr>
              <w:t>Pokles nedaňových příjmů v roce 2014 v porovnání s rokem 2013 byl způsoben nenaplněním příjmů z vratek prostředků  na předfinancování projektů spolufinancovaných z EU/EHP. Tyto příjmy byly v roce 2014 naplněny  na 48,7 % schváleného  rozpočtu. V porovnání s rokem 2013 se jedná o pokles o 59,27 %.</w:t>
            </w:r>
          </w:p>
          <w:p w:rsidR="002D1875" w:rsidRPr="009B5391" w:rsidRDefault="002D1875" w:rsidP="00863E40">
            <w:pPr>
              <w:spacing w:before="120" w:after="120"/>
              <w:jc w:val="both"/>
              <w:rPr>
                <w:noProof/>
              </w:rPr>
            </w:pPr>
            <w:r w:rsidRPr="009B5391">
              <w:rPr>
                <w:noProof/>
              </w:rPr>
              <w:t xml:space="preserve">Největší podíl v plnění příjmů měly přijaté transfery, které činily 61,7 % příjmů. Jednalo se především o transfery v oblasti školství (největší objem UZ 33353 - přímé náklady na vzdělání). </w:t>
            </w:r>
          </w:p>
          <w:p w:rsidR="00B04F37" w:rsidRDefault="00B04F37" w:rsidP="00863E40">
            <w:pPr>
              <w:spacing w:before="120" w:after="120"/>
              <w:jc w:val="both"/>
              <w:rPr>
                <w:noProof/>
                <w:u w:val="single"/>
              </w:rPr>
            </w:pPr>
          </w:p>
          <w:p w:rsidR="00B04F37" w:rsidRDefault="00B04F37" w:rsidP="00863E40">
            <w:pPr>
              <w:spacing w:before="120" w:after="120"/>
              <w:jc w:val="both"/>
              <w:rPr>
                <w:noProof/>
                <w:u w:val="single"/>
              </w:rPr>
            </w:pPr>
          </w:p>
          <w:p w:rsidR="002D1875" w:rsidRPr="009B5391" w:rsidRDefault="002D1875" w:rsidP="00863E40">
            <w:pPr>
              <w:spacing w:before="120" w:after="120"/>
              <w:jc w:val="both"/>
              <w:rPr>
                <w:noProof/>
                <w:u w:val="single"/>
              </w:rPr>
            </w:pPr>
            <w:r w:rsidRPr="009B5391">
              <w:rPr>
                <w:noProof/>
                <w:u w:val="single"/>
              </w:rPr>
              <w:t>Přehled transferů přijatých krajem ze státního rozpočtu a státních fondů v roce 2014 (v tis. Kč):</w:t>
            </w:r>
          </w:p>
          <w:tbl>
            <w:tblPr>
              <w:tblW w:w="9490" w:type="dxa"/>
              <w:tblCellSpacing w:w="-8" w:type="dxa"/>
              <w:tblLayout w:type="fixed"/>
              <w:tblCellMar>
                <w:top w:w="30" w:type="dxa"/>
                <w:left w:w="30" w:type="dxa"/>
                <w:bottom w:w="30" w:type="dxa"/>
                <w:right w:w="30" w:type="dxa"/>
              </w:tblCellMar>
              <w:tblLook w:val="0000" w:firstRow="0" w:lastRow="0" w:firstColumn="0" w:lastColumn="0" w:noHBand="0" w:noVBand="0"/>
            </w:tblPr>
            <w:tblGrid>
              <w:gridCol w:w="3716"/>
              <w:gridCol w:w="1701"/>
              <w:gridCol w:w="2088"/>
              <w:gridCol w:w="1985"/>
            </w:tblGrid>
            <w:tr w:rsidR="002D1875" w:rsidRPr="009B5391" w:rsidTr="00750D8B">
              <w:trPr>
                <w:trHeight w:val="330"/>
                <w:tblCellSpacing w:w="-8" w:type="dxa"/>
              </w:trPr>
              <w:tc>
                <w:tcPr>
                  <w:tcW w:w="3740" w:type="dxa"/>
                  <w:tcBorders>
                    <w:top w:val="single" w:sz="6" w:space="0" w:color="auto"/>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xml:space="preserve">                      Kapitola</w:t>
                  </w:r>
                </w:p>
              </w:tc>
              <w:tc>
                <w:tcPr>
                  <w:tcW w:w="1717"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Celkem</w:t>
                  </w:r>
                </w:p>
              </w:tc>
              <w:tc>
                <w:tcPr>
                  <w:tcW w:w="2104"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Neinvestiční</w:t>
                  </w:r>
                </w:p>
              </w:tc>
              <w:tc>
                <w:tcPr>
                  <w:tcW w:w="2009"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Investiční</w:t>
                  </w:r>
                </w:p>
              </w:tc>
            </w:tr>
            <w:tr w:rsidR="002D1875" w:rsidRPr="009B5391" w:rsidTr="00750D8B">
              <w:trPr>
                <w:trHeight w:val="330"/>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Všeobecná pokladní správa</w:t>
                  </w:r>
                </w:p>
              </w:tc>
              <w:tc>
                <w:tcPr>
                  <w:tcW w:w="1717"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20 491,51</w:t>
                  </w:r>
                </w:p>
              </w:tc>
              <w:tc>
                <w:tcPr>
                  <w:tcW w:w="2104"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20 491,51</w:t>
                  </w:r>
                </w:p>
              </w:tc>
              <w:tc>
                <w:tcPr>
                  <w:tcW w:w="2009"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1717"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104"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009"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Ostatní kapitoly SR bez NF, OSFA</w:t>
                  </w:r>
                </w:p>
              </w:tc>
              <w:tc>
                <w:tcPr>
                  <w:tcW w:w="1717"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10 940 686,53</w:t>
                  </w:r>
                </w:p>
              </w:tc>
              <w:tc>
                <w:tcPr>
                  <w:tcW w:w="2104"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10 907 195,74</w:t>
                  </w:r>
                </w:p>
              </w:tc>
              <w:tc>
                <w:tcPr>
                  <w:tcW w:w="2009" w:type="dxa"/>
                  <w:tcBorders>
                    <w:top w:val="nil"/>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 xml:space="preserve">33 490,79 </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z toho:</w:t>
                  </w:r>
                </w:p>
              </w:tc>
              <w:tc>
                <w:tcPr>
                  <w:tcW w:w="1717"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104"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009"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Ministerstvo práce a sociálních věcí</w:t>
                  </w:r>
                </w:p>
              </w:tc>
              <w:tc>
                <w:tcPr>
                  <w:tcW w:w="1717"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362 157,09</w:t>
                  </w:r>
                </w:p>
              </w:tc>
              <w:tc>
                <w:tcPr>
                  <w:tcW w:w="2104"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362 157,09</w:t>
                  </w:r>
                </w:p>
              </w:tc>
              <w:tc>
                <w:tcPr>
                  <w:tcW w:w="2009"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w:t>
                  </w:r>
                </w:p>
              </w:tc>
            </w:tr>
            <w:tr w:rsidR="002D1875" w:rsidRPr="009B5391" w:rsidTr="00750D8B">
              <w:trPr>
                <w:trHeight w:val="315"/>
                <w:tblCellSpacing w:w="-8" w:type="dxa"/>
              </w:trPr>
              <w:tc>
                <w:tcPr>
                  <w:tcW w:w="3740" w:type="dxa"/>
                  <w:tcBorders>
                    <w:top w:val="nil"/>
                    <w:left w:val="single" w:sz="6" w:space="0" w:color="auto"/>
                    <w:bottom w:val="single" w:sz="4" w:space="0" w:color="auto"/>
                    <w:right w:val="single" w:sz="6" w:space="0" w:color="auto"/>
                  </w:tcBorders>
                  <w:vAlign w:val="center"/>
                </w:tcPr>
                <w:p w:rsidR="002D1875" w:rsidRPr="009B5391" w:rsidRDefault="002D1875" w:rsidP="00863E40">
                  <w:pPr>
                    <w:jc w:val="both"/>
                    <w:rPr>
                      <w:noProof/>
                    </w:rPr>
                  </w:pPr>
                  <w:r w:rsidRPr="009B5391">
                    <w:rPr>
                      <w:noProof/>
                    </w:rPr>
                    <w:t>Ministerstvo vnitra</w:t>
                  </w:r>
                </w:p>
              </w:tc>
              <w:tc>
                <w:tcPr>
                  <w:tcW w:w="1717"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6 612,00</w:t>
                  </w:r>
                </w:p>
              </w:tc>
              <w:tc>
                <w:tcPr>
                  <w:tcW w:w="2104"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6 612,00</w:t>
                  </w:r>
                </w:p>
              </w:tc>
              <w:tc>
                <w:tcPr>
                  <w:tcW w:w="2009"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w:t>
                  </w:r>
                </w:p>
              </w:tc>
            </w:tr>
            <w:tr w:rsidR="002D1875" w:rsidRPr="009B5391" w:rsidTr="00750D8B">
              <w:trPr>
                <w:trHeight w:val="315"/>
                <w:tblCellSpacing w:w="-8" w:type="dxa"/>
              </w:trPr>
              <w:tc>
                <w:tcPr>
                  <w:tcW w:w="3740" w:type="dxa"/>
                  <w:tcBorders>
                    <w:top w:val="single" w:sz="4" w:space="0" w:color="auto"/>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Ministerstvo životního prostředí</w:t>
                  </w:r>
                </w:p>
              </w:tc>
              <w:tc>
                <w:tcPr>
                  <w:tcW w:w="1717"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6 953,73</w:t>
                  </w:r>
                </w:p>
              </w:tc>
              <w:tc>
                <w:tcPr>
                  <w:tcW w:w="2104"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1 057,32</w:t>
                  </w:r>
                </w:p>
              </w:tc>
              <w:tc>
                <w:tcPr>
                  <w:tcW w:w="2009"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5 896,41</w:t>
                  </w:r>
                </w:p>
              </w:tc>
            </w:tr>
            <w:tr w:rsidR="002D1875" w:rsidRPr="009B5391" w:rsidTr="00750D8B">
              <w:trPr>
                <w:trHeight w:val="315"/>
                <w:tblCellSpacing w:w="-8" w:type="dxa"/>
              </w:trPr>
              <w:tc>
                <w:tcPr>
                  <w:tcW w:w="3740" w:type="dxa"/>
                  <w:tcBorders>
                    <w:top w:val="nil"/>
                    <w:left w:val="single" w:sz="6" w:space="0" w:color="auto"/>
                    <w:bottom w:val="single" w:sz="4" w:space="0" w:color="auto"/>
                    <w:right w:val="single" w:sz="6" w:space="0" w:color="auto"/>
                  </w:tcBorders>
                  <w:vAlign w:val="center"/>
                </w:tcPr>
                <w:p w:rsidR="002D1875" w:rsidRPr="009B5391" w:rsidRDefault="002D1875" w:rsidP="00863E40">
                  <w:pPr>
                    <w:jc w:val="both"/>
                    <w:rPr>
                      <w:noProof/>
                    </w:rPr>
                  </w:pPr>
                  <w:r w:rsidRPr="009B5391">
                    <w:rPr>
                      <w:noProof/>
                    </w:rPr>
                    <w:t>Ministerstvo pro místní rozvoj</w:t>
                  </w:r>
                </w:p>
              </w:tc>
              <w:tc>
                <w:tcPr>
                  <w:tcW w:w="1717"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26 666,77</w:t>
                  </w:r>
                </w:p>
              </w:tc>
              <w:tc>
                <w:tcPr>
                  <w:tcW w:w="2104"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7 810,44</w:t>
                  </w:r>
                </w:p>
              </w:tc>
              <w:tc>
                <w:tcPr>
                  <w:tcW w:w="2009" w:type="dxa"/>
                  <w:tcBorders>
                    <w:top w:val="nil"/>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18 856,33</w:t>
                  </w:r>
                </w:p>
              </w:tc>
            </w:tr>
            <w:tr w:rsidR="002D1875" w:rsidRPr="009B5391" w:rsidTr="00750D8B">
              <w:trPr>
                <w:trHeight w:val="315"/>
                <w:tblCellSpacing w:w="-8" w:type="dxa"/>
              </w:trPr>
              <w:tc>
                <w:tcPr>
                  <w:tcW w:w="3740" w:type="dxa"/>
                  <w:tcBorders>
                    <w:top w:val="single" w:sz="4" w:space="0" w:color="auto"/>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Ministerstvo dopravy</w:t>
                  </w:r>
                </w:p>
              </w:tc>
              <w:tc>
                <w:tcPr>
                  <w:tcW w:w="1717"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488 877,65</w:t>
                  </w:r>
                </w:p>
              </w:tc>
              <w:tc>
                <w:tcPr>
                  <w:tcW w:w="2104"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488 877,65</w:t>
                  </w:r>
                </w:p>
              </w:tc>
              <w:tc>
                <w:tcPr>
                  <w:tcW w:w="2009" w:type="dxa"/>
                  <w:tcBorders>
                    <w:top w:val="single" w:sz="4"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w:t>
                  </w:r>
                </w:p>
              </w:tc>
            </w:tr>
            <w:tr w:rsidR="002D1875" w:rsidRPr="009B5391" w:rsidTr="00750D8B">
              <w:trPr>
                <w:trHeight w:val="630"/>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Ministerstvo školství, mládeže a tělovýchovy</w:t>
                  </w:r>
                </w:p>
              </w:tc>
              <w:tc>
                <w:tcPr>
                  <w:tcW w:w="1717"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10 035 459,93</w:t>
                  </w:r>
                </w:p>
              </w:tc>
              <w:tc>
                <w:tcPr>
                  <w:tcW w:w="2104"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10 026 821,89</w:t>
                  </w:r>
                </w:p>
              </w:tc>
              <w:tc>
                <w:tcPr>
                  <w:tcW w:w="2009"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8 638,05</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Ministerstvo kultury</w:t>
                  </w:r>
                </w:p>
              </w:tc>
              <w:tc>
                <w:tcPr>
                  <w:tcW w:w="1717"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936,00</w:t>
                  </w:r>
                </w:p>
              </w:tc>
              <w:tc>
                <w:tcPr>
                  <w:tcW w:w="2104"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836,00</w:t>
                  </w:r>
                </w:p>
              </w:tc>
              <w:tc>
                <w:tcPr>
                  <w:tcW w:w="2009" w:type="dxa"/>
                  <w:tcBorders>
                    <w:top w:val="nil"/>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100,00</w:t>
                  </w:r>
                </w:p>
              </w:tc>
            </w:tr>
            <w:tr w:rsidR="002D1875" w:rsidRPr="009B5391" w:rsidTr="00750D8B">
              <w:trPr>
                <w:trHeight w:val="315"/>
                <w:tblCellSpacing w:w="-8" w:type="dxa"/>
              </w:trPr>
              <w:tc>
                <w:tcPr>
                  <w:tcW w:w="3740" w:type="dxa"/>
                  <w:tcBorders>
                    <w:top w:val="single" w:sz="6" w:space="0" w:color="auto"/>
                    <w:left w:val="single" w:sz="6" w:space="0" w:color="auto"/>
                    <w:bottom w:val="single" w:sz="4" w:space="0" w:color="auto"/>
                    <w:right w:val="single" w:sz="6" w:space="0" w:color="auto"/>
                  </w:tcBorders>
                  <w:vAlign w:val="center"/>
                </w:tcPr>
                <w:p w:rsidR="002D1875" w:rsidRPr="009B5391" w:rsidRDefault="002D1875" w:rsidP="00863E40">
                  <w:pPr>
                    <w:jc w:val="both"/>
                    <w:rPr>
                      <w:noProof/>
                    </w:rPr>
                  </w:pPr>
                  <w:r w:rsidRPr="009B5391">
                    <w:rPr>
                      <w:noProof/>
                    </w:rPr>
                    <w:t>Ministerstvo zdravotnictví</w:t>
                  </w:r>
                </w:p>
              </w:tc>
              <w:tc>
                <w:tcPr>
                  <w:tcW w:w="1717" w:type="dxa"/>
                  <w:tcBorders>
                    <w:top w:val="single" w:sz="6" w:space="0" w:color="auto"/>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13 023,36</w:t>
                  </w:r>
                </w:p>
              </w:tc>
              <w:tc>
                <w:tcPr>
                  <w:tcW w:w="2104" w:type="dxa"/>
                  <w:tcBorders>
                    <w:top w:val="single" w:sz="6" w:space="0" w:color="auto"/>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13 023,36</w:t>
                  </w:r>
                </w:p>
              </w:tc>
              <w:tc>
                <w:tcPr>
                  <w:tcW w:w="2009" w:type="dxa"/>
                  <w:tcBorders>
                    <w:top w:val="single" w:sz="6" w:space="0" w:color="auto"/>
                    <w:left w:val="nil"/>
                    <w:bottom w:val="single" w:sz="4" w:space="0" w:color="auto"/>
                    <w:right w:val="single" w:sz="6" w:space="0" w:color="auto"/>
                  </w:tcBorders>
                  <w:vAlign w:val="center"/>
                </w:tcPr>
                <w:p w:rsidR="002D1875" w:rsidRPr="009B5391" w:rsidRDefault="002D1875" w:rsidP="00FD7FCF">
                  <w:pPr>
                    <w:jc w:val="right"/>
                    <w:rPr>
                      <w:noProof/>
                    </w:rPr>
                  </w:pPr>
                  <w:r w:rsidRPr="009B5391">
                    <w:rPr>
                      <w:noProof/>
                    </w:rPr>
                    <w:t>-</w:t>
                  </w:r>
                </w:p>
              </w:tc>
            </w:tr>
            <w:tr w:rsidR="002D1875" w:rsidRPr="009B5391" w:rsidTr="00750D8B">
              <w:trPr>
                <w:trHeight w:val="315"/>
                <w:tblCellSpacing w:w="-8" w:type="dxa"/>
              </w:trPr>
              <w:tc>
                <w:tcPr>
                  <w:tcW w:w="3740" w:type="dxa"/>
                  <w:tcBorders>
                    <w:top w:val="single" w:sz="4" w:space="0" w:color="auto"/>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1717" w:type="dxa"/>
                  <w:tcBorders>
                    <w:top w:val="single" w:sz="4"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104" w:type="dxa"/>
                  <w:tcBorders>
                    <w:top w:val="single" w:sz="4"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009" w:type="dxa"/>
                  <w:tcBorders>
                    <w:top w:val="single" w:sz="4"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r>
            <w:tr w:rsidR="002D1875" w:rsidRPr="009B5391" w:rsidTr="00750D8B">
              <w:trPr>
                <w:trHeight w:val="315"/>
                <w:tblCellSpacing w:w="-8" w:type="dxa"/>
              </w:trPr>
              <w:tc>
                <w:tcPr>
                  <w:tcW w:w="3740" w:type="dxa"/>
                  <w:tcBorders>
                    <w:top w:val="single" w:sz="6" w:space="0" w:color="auto"/>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Úřad vlády</w:t>
                  </w:r>
                </w:p>
              </w:tc>
              <w:tc>
                <w:tcPr>
                  <w:tcW w:w="1717" w:type="dxa"/>
                  <w:tcBorders>
                    <w:top w:val="single" w:sz="6" w:space="0" w:color="auto"/>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450,00</w:t>
                  </w:r>
                </w:p>
              </w:tc>
              <w:tc>
                <w:tcPr>
                  <w:tcW w:w="2104" w:type="dxa"/>
                  <w:tcBorders>
                    <w:top w:val="single" w:sz="6" w:space="0" w:color="auto"/>
                    <w:left w:val="nil"/>
                    <w:bottom w:val="single" w:sz="6" w:space="0" w:color="auto"/>
                    <w:right w:val="single" w:sz="6" w:space="0" w:color="auto"/>
                  </w:tcBorders>
                  <w:vAlign w:val="center"/>
                </w:tcPr>
                <w:p w:rsidR="002D1875" w:rsidRPr="009B5391" w:rsidRDefault="002D1875" w:rsidP="00FD7FCF">
                  <w:pPr>
                    <w:jc w:val="right"/>
                    <w:rPr>
                      <w:b/>
                      <w:bCs/>
                      <w:noProof/>
                    </w:rPr>
                  </w:pPr>
                  <w:r w:rsidRPr="009B5391">
                    <w:rPr>
                      <w:b/>
                      <w:bCs/>
                      <w:noProof/>
                    </w:rPr>
                    <w:t>450,00</w:t>
                  </w:r>
                </w:p>
              </w:tc>
              <w:tc>
                <w:tcPr>
                  <w:tcW w:w="2009" w:type="dxa"/>
                  <w:tcBorders>
                    <w:top w:val="single" w:sz="6" w:space="0" w:color="auto"/>
                    <w:left w:val="nil"/>
                    <w:bottom w:val="single" w:sz="6" w:space="0" w:color="auto"/>
                    <w:right w:val="single" w:sz="6" w:space="0" w:color="auto"/>
                  </w:tcBorders>
                  <w:vAlign w:val="center"/>
                </w:tcPr>
                <w:p w:rsidR="002D1875" w:rsidRPr="009B5391" w:rsidRDefault="002D1875" w:rsidP="00FD7FCF">
                  <w:pPr>
                    <w:jc w:val="right"/>
                    <w:rPr>
                      <w:noProof/>
                    </w:rPr>
                  </w:pPr>
                  <w:r w:rsidRPr="009B5391">
                    <w:rPr>
                      <w:noProof/>
                    </w:rPr>
                    <w:t>-</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1717"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104"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009"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r>
            <w:tr w:rsidR="002D1875" w:rsidRPr="009B5391" w:rsidTr="00750D8B">
              <w:trPr>
                <w:trHeight w:val="315"/>
                <w:tblCellSpacing w:w="-8" w:type="dxa"/>
              </w:trPr>
              <w:tc>
                <w:tcPr>
                  <w:tcW w:w="3740" w:type="dxa"/>
                  <w:tcBorders>
                    <w:top w:val="single" w:sz="6" w:space="0" w:color="auto"/>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lastRenderedPageBreak/>
                    <w:t>Operace státních finančních aktiv</w:t>
                  </w:r>
                </w:p>
              </w:tc>
              <w:tc>
                <w:tcPr>
                  <w:tcW w:w="1717" w:type="dxa"/>
                  <w:tcBorders>
                    <w:top w:val="single" w:sz="6" w:space="0" w:color="auto"/>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w:t>
                  </w:r>
                </w:p>
              </w:tc>
              <w:tc>
                <w:tcPr>
                  <w:tcW w:w="2104" w:type="dxa"/>
                  <w:tcBorders>
                    <w:top w:val="single" w:sz="6" w:space="0" w:color="auto"/>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w:t>
                  </w:r>
                </w:p>
              </w:tc>
              <w:tc>
                <w:tcPr>
                  <w:tcW w:w="2009" w:type="dxa"/>
                  <w:tcBorders>
                    <w:top w:val="single" w:sz="6" w:space="0" w:color="auto"/>
                    <w:left w:val="nil"/>
                    <w:bottom w:val="single" w:sz="6" w:space="0" w:color="auto"/>
                    <w:right w:val="single" w:sz="6" w:space="0" w:color="auto"/>
                  </w:tcBorders>
                  <w:vAlign w:val="center"/>
                </w:tcPr>
                <w:p w:rsidR="002D1875" w:rsidRPr="009B5391" w:rsidRDefault="002D1875" w:rsidP="00885E7A">
                  <w:pPr>
                    <w:jc w:val="right"/>
                    <w:rPr>
                      <w:noProof/>
                    </w:rPr>
                  </w:pPr>
                  <w:r w:rsidRPr="009B5391">
                    <w:rPr>
                      <w:noProof/>
                    </w:rPr>
                    <w:t>-</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Regionální rada</w:t>
                  </w:r>
                </w:p>
              </w:tc>
              <w:tc>
                <w:tcPr>
                  <w:tcW w:w="1717"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452 126,89</w:t>
                  </w:r>
                </w:p>
              </w:tc>
              <w:tc>
                <w:tcPr>
                  <w:tcW w:w="2104"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10 591,97</w:t>
                  </w:r>
                </w:p>
              </w:tc>
              <w:tc>
                <w:tcPr>
                  <w:tcW w:w="2009"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441 534,92</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Státní fondy</w:t>
                  </w:r>
                </w:p>
              </w:tc>
              <w:tc>
                <w:tcPr>
                  <w:tcW w:w="1717"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114 055,69</w:t>
                  </w:r>
                </w:p>
              </w:tc>
              <w:tc>
                <w:tcPr>
                  <w:tcW w:w="2104"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178,93</w:t>
                  </w:r>
                </w:p>
              </w:tc>
              <w:tc>
                <w:tcPr>
                  <w:tcW w:w="2009" w:type="dxa"/>
                  <w:tcBorders>
                    <w:top w:val="nil"/>
                    <w:left w:val="nil"/>
                    <w:bottom w:val="single" w:sz="6" w:space="0" w:color="auto"/>
                    <w:right w:val="single" w:sz="6" w:space="0" w:color="auto"/>
                  </w:tcBorders>
                  <w:vAlign w:val="center"/>
                </w:tcPr>
                <w:p w:rsidR="002D1875" w:rsidRPr="009B5391" w:rsidRDefault="002D1875" w:rsidP="00885E7A">
                  <w:pPr>
                    <w:jc w:val="right"/>
                    <w:rPr>
                      <w:b/>
                      <w:bCs/>
                      <w:noProof/>
                    </w:rPr>
                  </w:pPr>
                  <w:r w:rsidRPr="009B5391">
                    <w:rPr>
                      <w:b/>
                      <w:bCs/>
                      <w:noProof/>
                    </w:rPr>
                    <w:t>113 876,76</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z toho:</w:t>
                  </w:r>
                </w:p>
              </w:tc>
              <w:tc>
                <w:tcPr>
                  <w:tcW w:w="1717"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104"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009" w:type="dxa"/>
                  <w:tcBorders>
                    <w:top w:val="nil"/>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r>
            <w:tr w:rsidR="002D1875" w:rsidRPr="009B5391" w:rsidTr="00750D8B">
              <w:trPr>
                <w:trHeight w:val="315"/>
                <w:tblCellSpacing w:w="-8" w:type="dxa"/>
              </w:trPr>
              <w:tc>
                <w:tcPr>
                  <w:tcW w:w="3740"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Státní fond dopravní infrastruktury</w:t>
                  </w:r>
                </w:p>
              </w:tc>
              <w:tc>
                <w:tcPr>
                  <w:tcW w:w="1717" w:type="dxa"/>
                  <w:tcBorders>
                    <w:top w:val="nil"/>
                    <w:left w:val="nil"/>
                    <w:bottom w:val="single" w:sz="6" w:space="0" w:color="auto"/>
                    <w:right w:val="single" w:sz="6" w:space="0" w:color="auto"/>
                  </w:tcBorders>
                  <w:vAlign w:val="center"/>
                </w:tcPr>
                <w:p w:rsidR="002D1875" w:rsidRPr="009B5391" w:rsidRDefault="002D1875" w:rsidP="00885E7A">
                  <w:pPr>
                    <w:jc w:val="right"/>
                    <w:rPr>
                      <w:noProof/>
                    </w:rPr>
                  </w:pPr>
                  <w:r w:rsidRPr="009B5391">
                    <w:rPr>
                      <w:noProof/>
                    </w:rPr>
                    <w:t>113 529,92</w:t>
                  </w:r>
                </w:p>
              </w:tc>
              <w:tc>
                <w:tcPr>
                  <w:tcW w:w="2104" w:type="dxa"/>
                  <w:tcBorders>
                    <w:top w:val="nil"/>
                    <w:left w:val="nil"/>
                    <w:bottom w:val="single" w:sz="6" w:space="0" w:color="auto"/>
                    <w:right w:val="single" w:sz="6" w:space="0" w:color="auto"/>
                  </w:tcBorders>
                  <w:vAlign w:val="center"/>
                </w:tcPr>
                <w:p w:rsidR="002D1875" w:rsidRPr="009B5391" w:rsidRDefault="002D1875" w:rsidP="00867614">
                  <w:pPr>
                    <w:jc w:val="right"/>
                    <w:rPr>
                      <w:noProof/>
                    </w:rPr>
                  </w:pPr>
                  <w:r w:rsidRPr="009B5391">
                    <w:rPr>
                      <w:noProof/>
                    </w:rPr>
                    <w:t>-</w:t>
                  </w:r>
                </w:p>
              </w:tc>
              <w:tc>
                <w:tcPr>
                  <w:tcW w:w="2009" w:type="dxa"/>
                  <w:tcBorders>
                    <w:top w:val="nil"/>
                    <w:left w:val="nil"/>
                    <w:bottom w:val="single" w:sz="6" w:space="0" w:color="auto"/>
                    <w:right w:val="single" w:sz="6" w:space="0" w:color="auto"/>
                  </w:tcBorders>
                  <w:vAlign w:val="center"/>
                </w:tcPr>
                <w:p w:rsidR="002D1875" w:rsidRPr="009B5391" w:rsidRDefault="002D1875" w:rsidP="00867614">
                  <w:pPr>
                    <w:jc w:val="right"/>
                    <w:rPr>
                      <w:noProof/>
                    </w:rPr>
                  </w:pPr>
                  <w:r w:rsidRPr="009B5391">
                    <w:rPr>
                      <w:noProof/>
                    </w:rPr>
                    <w:t>113 529,92</w:t>
                  </w:r>
                </w:p>
              </w:tc>
            </w:tr>
            <w:tr w:rsidR="002D1875" w:rsidRPr="009B5391" w:rsidTr="00750D8B">
              <w:trPr>
                <w:trHeight w:val="315"/>
                <w:tblCellSpacing w:w="-8" w:type="dxa"/>
              </w:trPr>
              <w:tc>
                <w:tcPr>
                  <w:tcW w:w="3740" w:type="dxa"/>
                  <w:tcBorders>
                    <w:top w:val="single" w:sz="6" w:space="0" w:color="auto"/>
                    <w:left w:val="single" w:sz="6" w:space="0" w:color="auto"/>
                    <w:bottom w:val="single" w:sz="4" w:space="0" w:color="auto"/>
                    <w:right w:val="single" w:sz="6" w:space="0" w:color="auto"/>
                  </w:tcBorders>
                  <w:vAlign w:val="center"/>
                </w:tcPr>
                <w:p w:rsidR="002D1875" w:rsidRPr="009B5391" w:rsidRDefault="002D1875" w:rsidP="00863E40">
                  <w:pPr>
                    <w:jc w:val="both"/>
                    <w:rPr>
                      <w:noProof/>
                    </w:rPr>
                  </w:pPr>
                  <w:r w:rsidRPr="009B5391">
                    <w:rPr>
                      <w:noProof/>
                    </w:rPr>
                    <w:t>Státní fond životního prostředí</w:t>
                  </w:r>
                </w:p>
              </w:tc>
              <w:tc>
                <w:tcPr>
                  <w:tcW w:w="1717" w:type="dxa"/>
                  <w:tcBorders>
                    <w:top w:val="single" w:sz="6" w:space="0" w:color="auto"/>
                    <w:left w:val="nil"/>
                    <w:bottom w:val="single" w:sz="4" w:space="0" w:color="auto"/>
                    <w:right w:val="single" w:sz="6" w:space="0" w:color="auto"/>
                  </w:tcBorders>
                  <w:vAlign w:val="center"/>
                </w:tcPr>
                <w:p w:rsidR="002D1875" w:rsidRPr="009B5391" w:rsidRDefault="002D1875" w:rsidP="00885E7A">
                  <w:pPr>
                    <w:jc w:val="right"/>
                    <w:rPr>
                      <w:noProof/>
                    </w:rPr>
                  </w:pPr>
                  <w:r w:rsidRPr="009B5391">
                    <w:rPr>
                      <w:noProof/>
                    </w:rPr>
                    <w:t>525,78</w:t>
                  </w:r>
                </w:p>
              </w:tc>
              <w:tc>
                <w:tcPr>
                  <w:tcW w:w="2104" w:type="dxa"/>
                  <w:tcBorders>
                    <w:top w:val="single" w:sz="6" w:space="0" w:color="auto"/>
                    <w:left w:val="nil"/>
                    <w:bottom w:val="single" w:sz="4" w:space="0" w:color="auto"/>
                    <w:right w:val="single" w:sz="6" w:space="0" w:color="auto"/>
                  </w:tcBorders>
                  <w:vAlign w:val="center"/>
                </w:tcPr>
                <w:p w:rsidR="002D1875" w:rsidRPr="009B5391" w:rsidRDefault="002D1875" w:rsidP="00867614">
                  <w:pPr>
                    <w:jc w:val="right"/>
                    <w:rPr>
                      <w:noProof/>
                    </w:rPr>
                  </w:pPr>
                  <w:r w:rsidRPr="009B5391">
                    <w:rPr>
                      <w:noProof/>
                    </w:rPr>
                    <w:t>178,93</w:t>
                  </w:r>
                </w:p>
              </w:tc>
              <w:tc>
                <w:tcPr>
                  <w:tcW w:w="2009" w:type="dxa"/>
                  <w:tcBorders>
                    <w:top w:val="single" w:sz="6" w:space="0" w:color="auto"/>
                    <w:left w:val="nil"/>
                    <w:bottom w:val="single" w:sz="4" w:space="0" w:color="auto"/>
                    <w:right w:val="single" w:sz="6" w:space="0" w:color="auto"/>
                  </w:tcBorders>
                  <w:vAlign w:val="center"/>
                </w:tcPr>
                <w:p w:rsidR="002D1875" w:rsidRPr="009B5391" w:rsidRDefault="002D1875" w:rsidP="00867614">
                  <w:pPr>
                    <w:jc w:val="right"/>
                    <w:rPr>
                      <w:noProof/>
                    </w:rPr>
                  </w:pPr>
                  <w:r w:rsidRPr="009B5391">
                    <w:rPr>
                      <w:noProof/>
                    </w:rPr>
                    <w:t>346,85</w:t>
                  </w:r>
                </w:p>
              </w:tc>
            </w:tr>
            <w:tr w:rsidR="002D1875" w:rsidRPr="009B5391" w:rsidTr="00750D8B">
              <w:trPr>
                <w:trHeight w:val="315"/>
                <w:tblCellSpacing w:w="-8" w:type="dxa"/>
              </w:trPr>
              <w:tc>
                <w:tcPr>
                  <w:tcW w:w="3740" w:type="dxa"/>
                  <w:tcBorders>
                    <w:top w:val="single" w:sz="4" w:space="0" w:color="auto"/>
                    <w:left w:val="single" w:sz="6" w:space="0" w:color="auto"/>
                    <w:bottom w:val="single" w:sz="4" w:space="0" w:color="auto"/>
                    <w:right w:val="single" w:sz="6" w:space="0" w:color="auto"/>
                  </w:tcBorders>
                  <w:vAlign w:val="center"/>
                </w:tcPr>
                <w:p w:rsidR="002D1875" w:rsidRPr="009B5391" w:rsidRDefault="002D1875" w:rsidP="00863E40">
                  <w:pPr>
                    <w:jc w:val="both"/>
                    <w:rPr>
                      <w:noProof/>
                    </w:rPr>
                  </w:pPr>
                </w:p>
              </w:tc>
              <w:tc>
                <w:tcPr>
                  <w:tcW w:w="1717" w:type="dxa"/>
                  <w:tcBorders>
                    <w:top w:val="single" w:sz="4" w:space="0" w:color="auto"/>
                    <w:left w:val="nil"/>
                    <w:bottom w:val="single" w:sz="4" w:space="0" w:color="auto"/>
                    <w:right w:val="single" w:sz="6" w:space="0" w:color="auto"/>
                  </w:tcBorders>
                  <w:vAlign w:val="center"/>
                </w:tcPr>
                <w:p w:rsidR="002D1875" w:rsidRPr="009B5391" w:rsidRDefault="002D1875" w:rsidP="00863E40">
                  <w:pPr>
                    <w:jc w:val="both"/>
                    <w:rPr>
                      <w:noProof/>
                    </w:rPr>
                  </w:pPr>
                </w:p>
              </w:tc>
              <w:tc>
                <w:tcPr>
                  <w:tcW w:w="2104" w:type="dxa"/>
                  <w:tcBorders>
                    <w:top w:val="single" w:sz="4" w:space="0" w:color="auto"/>
                    <w:left w:val="nil"/>
                    <w:bottom w:val="single" w:sz="4" w:space="0" w:color="auto"/>
                    <w:right w:val="single" w:sz="6" w:space="0" w:color="auto"/>
                  </w:tcBorders>
                  <w:vAlign w:val="center"/>
                </w:tcPr>
                <w:p w:rsidR="002D1875" w:rsidRPr="009B5391" w:rsidRDefault="002D1875" w:rsidP="00863E40">
                  <w:pPr>
                    <w:jc w:val="both"/>
                    <w:rPr>
                      <w:noProof/>
                    </w:rPr>
                  </w:pPr>
                </w:p>
              </w:tc>
              <w:tc>
                <w:tcPr>
                  <w:tcW w:w="2009" w:type="dxa"/>
                  <w:tcBorders>
                    <w:top w:val="single" w:sz="4" w:space="0" w:color="auto"/>
                    <w:left w:val="nil"/>
                    <w:bottom w:val="single" w:sz="4" w:space="0" w:color="auto"/>
                    <w:right w:val="single" w:sz="6" w:space="0" w:color="auto"/>
                  </w:tcBorders>
                  <w:vAlign w:val="center"/>
                </w:tcPr>
                <w:p w:rsidR="002D1875" w:rsidRPr="009B5391" w:rsidRDefault="002D1875" w:rsidP="00863E40">
                  <w:pPr>
                    <w:jc w:val="both"/>
                    <w:rPr>
                      <w:noProof/>
                    </w:rPr>
                  </w:pPr>
                </w:p>
              </w:tc>
            </w:tr>
            <w:tr w:rsidR="002D1875" w:rsidRPr="009B5391" w:rsidTr="00750D8B">
              <w:trPr>
                <w:trHeight w:val="315"/>
                <w:tblCellSpacing w:w="-8" w:type="dxa"/>
              </w:trPr>
              <w:tc>
                <w:tcPr>
                  <w:tcW w:w="3740" w:type="dxa"/>
                  <w:tcBorders>
                    <w:top w:val="single" w:sz="4" w:space="0" w:color="auto"/>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Transfery celkem</w:t>
                  </w:r>
                </w:p>
              </w:tc>
              <w:tc>
                <w:tcPr>
                  <w:tcW w:w="1717" w:type="dxa"/>
                  <w:tcBorders>
                    <w:top w:val="single" w:sz="4" w:space="0" w:color="auto"/>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11 527 810,62</w:t>
                  </w:r>
                </w:p>
              </w:tc>
              <w:tc>
                <w:tcPr>
                  <w:tcW w:w="2104" w:type="dxa"/>
                  <w:tcBorders>
                    <w:top w:val="single" w:sz="4" w:space="0" w:color="auto"/>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10 938 908,14</w:t>
                  </w:r>
                </w:p>
              </w:tc>
              <w:tc>
                <w:tcPr>
                  <w:tcW w:w="2009" w:type="dxa"/>
                  <w:tcBorders>
                    <w:top w:val="single" w:sz="4" w:space="0" w:color="auto"/>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588 902,48</w:t>
                  </w:r>
                </w:p>
              </w:tc>
            </w:tr>
          </w:tbl>
          <w:p w:rsidR="002D1875" w:rsidRPr="009B5391" w:rsidRDefault="002D1875" w:rsidP="00863E40">
            <w:pPr>
              <w:spacing w:before="120" w:after="120"/>
              <w:jc w:val="both"/>
              <w:rPr>
                <w:noProof/>
              </w:rPr>
            </w:pPr>
            <w:r w:rsidRPr="009B5391">
              <w:rPr>
                <w:noProof/>
              </w:rPr>
              <w:t>Příjmy Středočeského kraje v oblasti přijatých transferů se v roce 2014 oproti roku 2013 zvýšily o 0,6 %. Na celkových příjatých transferech činil podíl neivestičních transterů 94,9 % (oproti roku 2013 došlo k nárůstu o 1,6 %), podíl investičních transferů činil 5,1% (oproti roku 2013 došlo k poklesu o 15,10 %).</w:t>
            </w:r>
          </w:p>
          <w:p w:rsidR="002D1875" w:rsidRPr="009B5391" w:rsidRDefault="002D1875" w:rsidP="00863E40">
            <w:pPr>
              <w:spacing w:before="120" w:after="120"/>
              <w:jc w:val="both"/>
              <w:rPr>
                <w:b/>
                <w:bCs/>
                <w:noProof/>
              </w:rPr>
            </w:pPr>
            <w:r w:rsidRPr="009B5391">
              <w:rPr>
                <w:b/>
                <w:bCs/>
                <w:noProof/>
              </w:rPr>
              <w:t>Za období leden až prosinec roku 2014 činily výdaje po konsolidaci 18 318 773,15 tis. Kč a byly naplněny na 94,1 % upraveného rozpočtu. V porovnání s rokem 2013 došlo k nárůstu výdajů o 1,5 %.</w:t>
            </w:r>
          </w:p>
          <w:p w:rsidR="00B04F37" w:rsidRDefault="00B04F37" w:rsidP="00863E40">
            <w:pPr>
              <w:spacing w:before="120" w:after="120"/>
              <w:jc w:val="both"/>
              <w:rPr>
                <w:noProof/>
                <w:u w:val="single"/>
              </w:rPr>
            </w:pPr>
          </w:p>
          <w:p w:rsidR="00B04F37" w:rsidRDefault="00B04F37" w:rsidP="00863E40">
            <w:pPr>
              <w:spacing w:before="120" w:after="120"/>
              <w:jc w:val="both"/>
              <w:rPr>
                <w:noProof/>
                <w:u w:val="single"/>
              </w:rPr>
            </w:pPr>
          </w:p>
          <w:p w:rsidR="002D1875" w:rsidRPr="009B5391" w:rsidRDefault="002D1875" w:rsidP="00863E40">
            <w:pPr>
              <w:spacing w:before="120" w:after="120"/>
              <w:jc w:val="both"/>
              <w:rPr>
                <w:noProof/>
                <w:u w:val="single"/>
              </w:rPr>
            </w:pPr>
            <w:r w:rsidRPr="009B5391">
              <w:rPr>
                <w:noProof/>
                <w:u w:val="single"/>
              </w:rPr>
              <w:t>Struktura výdajů Středočeského kraje v roce 2014 (v tis. Kč):</w:t>
            </w:r>
          </w:p>
          <w:tbl>
            <w:tblPr>
              <w:tblW w:w="9490" w:type="dxa"/>
              <w:tblCellSpacing w:w="-8" w:type="dxa"/>
              <w:tblLayout w:type="fixed"/>
              <w:tblCellMar>
                <w:top w:w="30" w:type="dxa"/>
                <w:left w:w="30" w:type="dxa"/>
                <w:bottom w:w="30" w:type="dxa"/>
                <w:right w:w="30" w:type="dxa"/>
              </w:tblCellMar>
              <w:tblLook w:val="0000" w:firstRow="0" w:lastRow="0" w:firstColumn="0" w:lastColumn="0" w:noHBand="0" w:noVBand="0"/>
            </w:tblPr>
            <w:tblGrid>
              <w:gridCol w:w="5133"/>
              <w:gridCol w:w="2230"/>
              <w:gridCol w:w="2127"/>
            </w:tblGrid>
            <w:tr w:rsidR="002D1875" w:rsidRPr="009B5391" w:rsidTr="00750D8B">
              <w:trPr>
                <w:trHeight w:val="330"/>
                <w:tblCellSpacing w:w="-8" w:type="dxa"/>
              </w:trPr>
              <w:tc>
                <w:tcPr>
                  <w:tcW w:w="5157" w:type="dxa"/>
                  <w:tcBorders>
                    <w:top w:val="single" w:sz="6" w:space="0" w:color="auto"/>
                    <w:left w:val="single" w:sz="6" w:space="0" w:color="auto"/>
                    <w:bottom w:val="single" w:sz="6" w:space="0" w:color="auto"/>
                    <w:right w:val="single" w:sz="6" w:space="0" w:color="auto"/>
                  </w:tcBorders>
                  <w:vAlign w:val="center"/>
                </w:tcPr>
                <w:p w:rsidR="002D1875" w:rsidRPr="009B5391" w:rsidRDefault="002D1875" w:rsidP="00863E40">
                  <w:pPr>
                    <w:jc w:val="both"/>
                    <w:rPr>
                      <w:noProof/>
                    </w:rPr>
                  </w:pPr>
                  <w:r w:rsidRPr="009B5391">
                    <w:rPr>
                      <w:noProof/>
                    </w:rPr>
                    <w:t> </w:t>
                  </w:r>
                </w:p>
              </w:tc>
              <w:tc>
                <w:tcPr>
                  <w:tcW w:w="2246"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Rozpočet po změnách</w:t>
                  </w:r>
                </w:p>
              </w:tc>
              <w:tc>
                <w:tcPr>
                  <w:tcW w:w="2151" w:type="dxa"/>
                  <w:tcBorders>
                    <w:top w:val="single" w:sz="6" w:space="0" w:color="auto"/>
                    <w:left w:val="nil"/>
                    <w:bottom w:val="single" w:sz="6" w:space="0" w:color="auto"/>
                    <w:right w:val="single" w:sz="6" w:space="0" w:color="auto"/>
                  </w:tcBorders>
                  <w:vAlign w:val="center"/>
                </w:tcPr>
                <w:p w:rsidR="002D1875" w:rsidRPr="009B5391" w:rsidRDefault="002D1875" w:rsidP="00863E40">
                  <w:pPr>
                    <w:jc w:val="both"/>
                    <w:rPr>
                      <w:noProof/>
                    </w:rPr>
                  </w:pPr>
                  <w:r w:rsidRPr="009B5391">
                    <w:rPr>
                      <w:noProof/>
                    </w:rPr>
                    <w:t xml:space="preserve">Skutečnost </w:t>
                  </w:r>
                </w:p>
              </w:tc>
            </w:tr>
            <w:tr w:rsidR="002D1875" w:rsidRPr="009B5391" w:rsidTr="00750D8B">
              <w:trPr>
                <w:trHeight w:val="300"/>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Běžné výdaje</w:t>
                  </w:r>
                </w:p>
              </w:tc>
              <w:tc>
                <w:tcPr>
                  <w:tcW w:w="2246" w:type="dxa"/>
                  <w:tcBorders>
                    <w:top w:val="nil"/>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17 287 176,44</w:t>
                  </w:r>
                </w:p>
              </w:tc>
              <w:tc>
                <w:tcPr>
                  <w:tcW w:w="2151" w:type="dxa"/>
                  <w:tcBorders>
                    <w:top w:val="nil"/>
                    <w:left w:val="nil"/>
                    <w:bottom w:val="single" w:sz="6" w:space="0" w:color="auto"/>
                    <w:right w:val="single" w:sz="6" w:space="0" w:color="auto"/>
                  </w:tcBorders>
                  <w:vAlign w:val="center"/>
                </w:tcPr>
                <w:p w:rsidR="002D1875" w:rsidRPr="009B5391" w:rsidRDefault="002D1875" w:rsidP="00867614">
                  <w:pPr>
                    <w:ind w:left="-30"/>
                    <w:jc w:val="right"/>
                    <w:rPr>
                      <w:b/>
                      <w:bCs/>
                      <w:noProof/>
                    </w:rPr>
                  </w:pPr>
                  <w:r w:rsidRPr="009B5391">
                    <w:rPr>
                      <w:b/>
                      <w:bCs/>
                      <w:noProof/>
                    </w:rPr>
                    <w:t>16 674 831,10</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Kapitálové výdaje</w:t>
                  </w:r>
                </w:p>
              </w:tc>
              <w:tc>
                <w:tcPr>
                  <w:tcW w:w="2246" w:type="dxa"/>
                  <w:tcBorders>
                    <w:top w:val="nil"/>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2 180 494,51</w:t>
                  </w:r>
                </w:p>
              </w:tc>
              <w:tc>
                <w:tcPr>
                  <w:tcW w:w="2151" w:type="dxa"/>
                  <w:tcBorders>
                    <w:top w:val="nil"/>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1 643 942,05</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b/>
                      <w:bCs/>
                      <w:noProof/>
                    </w:rPr>
                  </w:pPr>
                  <w:r w:rsidRPr="009B5391">
                    <w:rPr>
                      <w:b/>
                      <w:bCs/>
                      <w:noProof/>
                    </w:rPr>
                    <w:t>Výdaje celkem po konsolidaci</w:t>
                  </w:r>
                </w:p>
              </w:tc>
              <w:tc>
                <w:tcPr>
                  <w:tcW w:w="2246" w:type="dxa"/>
                  <w:tcBorders>
                    <w:top w:val="nil"/>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19 467 670,95</w:t>
                  </w:r>
                </w:p>
              </w:tc>
              <w:tc>
                <w:tcPr>
                  <w:tcW w:w="2151" w:type="dxa"/>
                  <w:tcBorders>
                    <w:top w:val="nil"/>
                    <w:left w:val="nil"/>
                    <w:bottom w:val="single" w:sz="6" w:space="0" w:color="auto"/>
                    <w:right w:val="single" w:sz="6" w:space="0" w:color="auto"/>
                  </w:tcBorders>
                  <w:vAlign w:val="center"/>
                </w:tcPr>
                <w:p w:rsidR="002D1875" w:rsidRPr="009B5391" w:rsidRDefault="002D1875" w:rsidP="00867614">
                  <w:pPr>
                    <w:jc w:val="right"/>
                    <w:rPr>
                      <w:b/>
                      <w:bCs/>
                      <w:noProof/>
                    </w:rPr>
                  </w:pPr>
                  <w:r w:rsidRPr="009B5391">
                    <w:rPr>
                      <w:b/>
                      <w:bCs/>
                      <w:noProof/>
                    </w:rPr>
                    <w:t>18 318 773,15</w:t>
                  </w:r>
                </w:p>
              </w:tc>
            </w:tr>
            <w:tr w:rsidR="002D1875" w:rsidRPr="009B5391" w:rsidTr="00750D8B">
              <w:trPr>
                <w:trHeight w:val="315"/>
                <w:tblCellSpacing w:w="-8" w:type="dxa"/>
              </w:trPr>
              <w:tc>
                <w:tcPr>
                  <w:tcW w:w="5157" w:type="dxa"/>
                  <w:tcBorders>
                    <w:top w:val="nil"/>
                    <w:left w:val="single" w:sz="6" w:space="0" w:color="auto"/>
                    <w:bottom w:val="single" w:sz="6" w:space="0" w:color="auto"/>
                    <w:right w:val="single" w:sz="6" w:space="0" w:color="auto"/>
                  </w:tcBorders>
                  <w:vAlign w:val="center"/>
                </w:tcPr>
                <w:p w:rsidR="002D1875" w:rsidRPr="009B5391" w:rsidRDefault="002D1875" w:rsidP="00863E40">
                  <w:pPr>
                    <w:jc w:val="both"/>
                    <w:rPr>
                      <w:i/>
                      <w:iCs/>
                      <w:noProof/>
                    </w:rPr>
                  </w:pPr>
                  <w:r w:rsidRPr="009B5391">
                    <w:rPr>
                      <w:i/>
                      <w:iCs/>
                      <w:noProof/>
                    </w:rPr>
                    <w:t>Výdaje celkem po konsolidaci v r. 2013</w:t>
                  </w:r>
                </w:p>
              </w:tc>
              <w:tc>
                <w:tcPr>
                  <w:tcW w:w="2246" w:type="dxa"/>
                  <w:tcBorders>
                    <w:top w:val="nil"/>
                    <w:left w:val="nil"/>
                    <w:bottom w:val="single" w:sz="6" w:space="0" w:color="auto"/>
                    <w:right w:val="single" w:sz="6" w:space="0" w:color="auto"/>
                  </w:tcBorders>
                  <w:vAlign w:val="center"/>
                </w:tcPr>
                <w:p w:rsidR="002D1875" w:rsidRPr="009B5391" w:rsidRDefault="002D1875" w:rsidP="00867614">
                  <w:pPr>
                    <w:jc w:val="right"/>
                    <w:rPr>
                      <w:i/>
                      <w:iCs/>
                      <w:noProof/>
                    </w:rPr>
                  </w:pPr>
                  <w:r w:rsidRPr="009B5391">
                    <w:rPr>
                      <w:i/>
                      <w:iCs/>
                      <w:noProof/>
                    </w:rPr>
                    <w:t>19 000 188,66</w:t>
                  </w:r>
                </w:p>
              </w:tc>
              <w:tc>
                <w:tcPr>
                  <w:tcW w:w="2151" w:type="dxa"/>
                  <w:tcBorders>
                    <w:top w:val="nil"/>
                    <w:left w:val="nil"/>
                    <w:bottom w:val="single" w:sz="6" w:space="0" w:color="auto"/>
                    <w:right w:val="single" w:sz="6" w:space="0" w:color="auto"/>
                  </w:tcBorders>
                  <w:vAlign w:val="center"/>
                </w:tcPr>
                <w:p w:rsidR="002D1875" w:rsidRPr="009B5391" w:rsidRDefault="002D1875" w:rsidP="00867614">
                  <w:pPr>
                    <w:jc w:val="right"/>
                    <w:rPr>
                      <w:i/>
                      <w:iCs/>
                      <w:noProof/>
                    </w:rPr>
                  </w:pPr>
                  <w:r w:rsidRPr="009B5391">
                    <w:rPr>
                      <w:i/>
                      <w:iCs/>
                      <w:noProof/>
                    </w:rPr>
                    <w:t>18 044 741,73</w:t>
                  </w:r>
                </w:p>
              </w:tc>
            </w:tr>
          </w:tbl>
          <w:p w:rsidR="002D1875" w:rsidRPr="009B5391" w:rsidRDefault="002D1875" w:rsidP="00863E40">
            <w:pPr>
              <w:spacing w:before="120" w:after="120"/>
              <w:jc w:val="both"/>
              <w:rPr>
                <w:noProof/>
                <w:u w:val="single"/>
              </w:rPr>
            </w:pPr>
          </w:p>
          <w:p w:rsidR="002D1875" w:rsidRPr="009B5391" w:rsidRDefault="002D1875" w:rsidP="00863E40">
            <w:pPr>
              <w:spacing w:before="120"/>
              <w:jc w:val="both"/>
              <w:rPr>
                <w:noProof/>
              </w:rPr>
            </w:pPr>
            <w:r w:rsidRPr="009B5391">
              <w:rPr>
                <w:noProof/>
              </w:rPr>
              <w:t>V rozpočtu na rok 2014 byly čerpány výdaje v tomto členění:</w:t>
            </w:r>
          </w:p>
          <w:p w:rsidR="002D1875" w:rsidRPr="009B5391" w:rsidRDefault="002D1875" w:rsidP="00863E40">
            <w:pPr>
              <w:widowControl/>
              <w:numPr>
                <w:ilvl w:val="0"/>
                <w:numId w:val="10"/>
              </w:numPr>
              <w:spacing w:before="120" w:line="276" w:lineRule="auto"/>
              <w:jc w:val="both"/>
              <w:outlineLvl w:val="9"/>
            </w:pPr>
            <w:r w:rsidRPr="009B5391">
              <w:rPr>
                <w:noProof/>
              </w:rPr>
              <w:t>běžné výdaje kapitol (neinvestiční výdaje jednotlivých kapitol)</w:t>
            </w:r>
          </w:p>
          <w:p w:rsidR="002D1875" w:rsidRPr="009B5391" w:rsidRDefault="002D1875" w:rsidP="00863E40">
            <w:pPr>
              <w:widowControl/>
              <w:numPr>
                <w:ilvl w:val="0"/>
                <w:numId w:val="10"/>
              </w:numPr>
              <w:spacing w:line="276" w:lineRule="auto"/>
              <w:jc w:val="both"/>
              <w:outlineLvl w:val="9"/>
            </w:pPr>
            <w:r w:rsidRPr="009B5391">
              <w:rPr>
                <w:noProof/>
              </w:rPr>
              <w:t xml:space="preserve">Středočeské fondy - grantové a dotační výdaje (včetně smluvně vázaných dotací z Fondů roku 2013) </w:t>
            </w:r>
          </w:p>
          <w:p w:rsidR="002D1875" w:rsidRPr="009B5391" w:rsidRDefault="002D1875" w:rsidP="00863E40">
            <w:pPr>
              <w:widowControl/>
              <w:numPr>
                <w:ilvl w:val="0"/>
                <w:numId w:val="10"/>
              </w:numPr>
              <w:spacing w:line="276" w:lineRule="auto"/>
              <w:jc w:val="both"/>
              <w:outlineLvl w:val="9"/>
            </w:pPr>
            <w:r w:rsidRPr="009B5391">
              <w:rPr>
                <w:noProof/>
              </w:rPr>
              <w:t>Havarijní fond pro ochranu jakosti vod SK</w:t>
            </w:r>
          </w:p>
          <w:p w:rsidR="002D1875" w:rsidRPr="009B5391" w:rsidRDefault="002D1875" w:rsidP="00863E40">
            <w:pPr>
              <w:widowControl/>
              <w:numPr>
                <w:ilvl w:val="0"/>
                <w:numId w:val="10"/>
              </w:numPr>
              <w:spacing w:line="276" w:lineRule="auto"/>
              <w:jc w:val="both"/>
              <w:outlineLvl w:val="9"/>
            </w:pPr>
            <w:r w:rsidRPr="009B5391">
              <w:t>investiční dotace v rámci Společného programu na podporu výměny kotlů</w:t>
            </w:r>
          </w:p>
          <w:p w:rsidR="002D1875" w:rsidRPr="009B5391" w:rsidRDefault="002D1875" w:rsidP="00863E40">
            <w:pPr>
              <w:widowControl/>
              <w:numPr>
                <w:ilvl w:val="0"/>
                <w:numId w:val="10"/>
              </w:numPr>
              <w:spacing w:line="276" w:lineRule="auto"/>
              <w:jc w:val="both"/>
              <w:outlineLvl w:val="9"/>
            </w:pPr>
            <w:r w:rsidRPr="009B5391">
              <w:rPr>
                <w:noProof/>
              </w:rPr>
              <w:t>havarijní opravy</w:t>
            </w:r>
          </w:p>
          <w:p w:rsidR="002D1875" w:rsidRPr="009B5391" w:rsidRDefault="002D1875" w:rsidP="00863E40">
            <w:pPr>
              <w:widowControl/>
              <w:numPr>
                <w:ilvl w:val="0"/>
                <w:numId w:val="10"/>
              </w:numPr>
              <w:spacing w:line="276" w:lineRule="auto"/>
              <w:jc w:val="both"/>
              <w:outlineLvl w:val="9"/>
            </w:pPr>
            <w:r w:rsidRPr="009B5391">
              <w:rPr>
                <w:noProof/>
              </w:rPr>
              <w:t>výdaje na reprodukci majetku příspěvkových organizací (financované z vybraných příjmů z pronájmu)</w:t>
            </w:r>
          </w:p>
          <w:p w:rsidR="002D1875" w:rsidRPr="009B5391" w:rsidRDefault="002D1875" w:rsidP="00863E40">
            <w:pPr>
              <w:widowControl/>
              <w:numPr>
                <w:ilvl w:val="0"/>
                <w:numId w:val="10"/>
              </w:numPr>
              <w:spacing w:line="276" w:lineRule="auto"/>
              <w:jc w:val="both"/>
              <w:outlineLvl w:val="9"/>
            </w:pPr>
            <w:r w:rsidRPr="009B5391">
              <w:rPr>
                <w:noProof/>
              </w:rPr>
              <w:t xml:space="preserve">výdaje z vázaného přebytku z minulého roku (běžné výdaje, Středočeské fondy, kapitálové výdaje, projekty EU) zapojené do schváleného rozpočtu 2014 - (finanční prostředky byly dle usnesení RK č. 038-07/2014/RK ze dne 17. 2. 2014 rozděleny rozpočtovým opatřením č. 20/23/2014 do kapitol rozpočtu Středočeského kraje) </w:t>
            </w:r>
          </w:p>
          <w:p w:rsidR="002D1875" w:rsidRPr="009B5391" w:rsidRDefault="002D1875" w:rsidP="00863E40">
            <w:pPr>
              <w:widowControl/>
              <w:numPr>
                <w:ilvl w:val="0"/>
                <w:numId w:val="10"/>
              </w:numPr>
              <w:spacing w:line="276" w:lineRule="auto"/>
              <w:jc w:val="both"/>
              <w:outlineLvl w:val="9"/>
            </w:pPr>
            <w:r w:rsidRPr="009B5391">
              <w:rPr>
                <w:noProof/>
              </w:rPr>
              <w:t>kapitálové (investiční) výdaje - vychází ze schváleného Plánu investic</w:t>
            </w:r>
          </w:p>
          <w:p w:rsidR="002D1875" w:rsidRPr="009B5391" w:rsidRDefault="002D1875" w:rsidP="00863E40">
            <w:pPr>
              <w:widowControl/>
              <w:numPr>
                <w:ilvl w:val="0"/>
                <w:numId w:val="10"/>
              </w:numPr>
              <w:spacing w:line="276" w:lineRule="auto"/>
              <w:jc w:val="both"/>
              <w:outlineLvl w:val="9"/>
            </w:pPr>
            <w:r w:rsidRPr="009B5391">
              <w:rPr>
                <w:noProof/>
              </w:rPr>
              <w:lastRenderedPageBreak/>
              <w:t xml:space="preserve">předfinancování a kofinancování projektů EU (prostředky vynaložené na předfinancování a kofinancování - spolufinancování projektů z EU jsou čerpány na základě Zásobníku projektů EU)  </w:t>
            </w:r>
          </w:p>
          <w:p w:rsidR="002D1875" w:rsidRPr="009B5391" w:rsidRDefault="002D1875" w:rsidP="00863E40">
            <w:pPr>
              <w:widowControl/>
              <w:numPr>
                <w:ilvl w:val="0"/>
                <w:numId w:val="10"/>
              </w:numPr>
              <w:spacing w:line="276" w:lineRule="auto"/>
              <w:jc w:val="both"/>
              <w:outlineLvl w:val="9"/>
            </w:pPr>
            <w:r w:rsidRPr="009B5391">
              <w:rPr>
                <w:noProof/>
              </w:rPr>
              <w:t>výdaje hrazené z rezervy SK - prostředky na nepředvídatelné události</w:t>
            </w:r>
          </w:p>
          <w:p w:rsidR="002D1875" w:rsidRPr="009B5391" w:rsidRDefault="002D1875" w:rsidP="00863E40">
            <w:pPr>
              <w:widowControl/>
              <w:numPr>
                <w:ilvl w:val="0"/>
                <w:numId w:val="10"/>
              </w:numPr>
              <w:spacing w:line="276" w:lineRule="auto"/>
              <w:jc w:val="both"/>
              <w:outlineLvl w:val="9"/>
            </w:pPr>
            <w:r w:rsidRPr="009B5391">
              <w:rPr>
                <w:noProof/>
              </w:rPr>
              <w:t>výdaje na pokrytí nákladů voleb nad rámec dotace</w:t>
            </w:r>
          </w:p>
          <w:p w:rsidR="002D1875" w:rsidRPr="009B5391" w:rsidRDefault="002D1875" w:rsidP="00863E40">
            <w:pPr>
              <w:widowControl/>
              <w:numPr>
                <w:ilvl w:val="0"/>
                <w:numId w:val="10"/>
              </w:numPr>
              <w:spacing w:line="276" w:lineRule="auto"/>
              <w:jc w:val="both"/>
              <w:outlineLvl w:val="9"/>
            </w:pPr>
            <w:r w:rsidRPr="009B5391">
              <w:rPr>
                <w:noProof/>
              </w:rPr>
              <w:t>pojištění vozidel a majetku</w:t>
            </w:r>
          </w:p>
          <w:p w:rsidR="002D1875" w:rsidRPr="009B5391" w:rsidRDefault="002D1875" w:rsidP="00863E40">
            <w:pPr>
              <w:widowControl/>
              <w:numPr>
                <w:ilvl w:val="0"/>
                <w:numId w:val="10"/>
              </w:numPr>
              <w:spacing w:line="276" w:lineRule="auto"/>
              <w:jc w:val="both"/>
              <w:outlineLvl w:val="9"/>
            </w:pPr>
            <w:r w:rsidRPr="009B5391">
              <w:rPr>
                <w:noProof/>
              </w:rPr>
              <w:t>odložené financování v oblasti dopravy (příspěvková organizace Středočeského kraje Krajská správa a údržba silnic) - zahrnuto ve výdajích kapitoly 04</w:t>
            </w:r>
          </w:p>
          <w:p w:rsidR="002D1875" w:rsidRPr="009B5391" w:rsidRDefault="002D1875" w:rsidP="00863E40">
            <w:pPr>
              <w:widowControl/>
              <w:numPr>
                <w:ilvl w:val="0"/>
                <w:numId w:val="10"/>
              </w:numPr>
              <w:spacing w:line="276" w:lineRule="auto"/>
              <w:jc w:val="both"/>
              <w:outlineLvl w:val="9"/>
            </w:pPr>
            <w:r w:rsidRPr="009B5391">
              <w:rPr>
                <w:noProof/>
              </w:rPr>
              <w:t>splátky úroků z přijatého úvěru kraje</w:t>
            </w:r>
          </w:p>
          <w:p w:rsidR="002D1875" w:rsidRPr="009B5391" w:rsidRDefault="002D1875" w:rsidP="00863E40">
            <w:pPr>
              <w:widowControl/>
              <w:numPr>
                <w:ilvl w:val="0"/>
                <w:numId w:val="10"/>
              </w:numPr>
              <w:spacing w:line="276" w:lineRule="auto"/>
              <w:jc w:val="both"/>
              <w:outlineLvl w:val="9"/>
            </w:pPr>
            <w:r w:rsidRPr="009B5391">
              <w:rPr>
                <w:noProof/>
              </w:rPr>
              <w:t>dluhová služba za úvěr nemocnic - splátky úroků z úvěru nemocnic</w:t>
            </w:r>
          </w:p>
          <w:p w:rsidR="002D1875" w:rsidRPr="009B5391" w:rsidRDefault="002D1875" w:rsidP="00863E40">
            <w:pPr>
              <w:widowControl/>
              <w:numPr>
                <w:ilvl w:val="0"/>
                <w:numId w:val="10"/>
              </w:numPr>
              <w:spacing w:line="276" w:lineRule="auto"/>
              <w:jc w:val="both"/>
              <w:outlineLvl w:val="9"/>
            </w:pPr>
            <w:r w:rsidRPr="009B5391">
              <w:rPr>
                <w:noProof/>
              </w:rPr>
              <w:t>dotace ze státního rozpočtu a ostatních veřejných rozpočtů (výdaje financované z přijatých účelových dotací)</w:t>
            </w:r>
          </w:p>
          <w:p w:rsidR="002D1875" w:rsidRPr="009B5391" w:rsidRDefault="002D1875" w:rsidP="00863E40">
            <w:pPr>
              <w:widowControl/>
              <w:numPr>
                <w:ilvl w:val="0"/>
                <w:numId w:val="10"/>
              </w:numPr>
              <w:spacing w:line="276" w:lineRule="auto"/>
              <w:jc w:val="both"/>
              <w:outlineLvl w:val="9"/>
            </w:pPr>
            <w:r w:rsidRPr="009B5391">
              <w:rPr>
                <w:noProof/>
              </w:rPr>
              <w:t>finanční vypořádání minulých let se státním rozpočtem (vratky dotací z minulých období podléhající finančnímu vypořádání).</w:t>
            </w:r>
          </w:p>
          <w:p w:rsidR="00B04F37" w:rsidRDefault="00B04F37" w:rsidP="00863E40">
            <w:pPr>
              <w:spacing w:before="120" w:after="120"/>
              <w:jc w:val="both"/>
              <w:rPr>
                <w:noProof/>
              </w:rPr>
            </w:pPr>
          </w:p>
          <w:p w:rsidR="002D1875" w:rsidRPr="009B5391" w:rsidRDefault="002D1875" w:rsidP="00863E40">
            <w:pPr>
              <w:spacing w:before="120" w:after="120"/>
              <w:jc w:val="both"/>
              <w:rPr>
                <w:noProof/>
              </w:rPr>
            </w:pPr>
            <w:r w:rsidRPr="009B5391">
              <w:rPr>
                <w:noProof/>
              </w:rPr>
              <w:t xml:space="preserve">V největším objemu byly čerpány dotace ze státního rozpočtu a ostatních veřejných rozpočtů (především v oblasti školství), jejich podíl činil na celkových výdajích 62,8 %. </w:t>
            </w:r>
          </w:p>
          <w:p w:rsidR="002D1875" w:rsidRPr="009B5391" w:rsidRDefault="002D1875" w:rsidP="00863E40">
            <w:pPr>
              <w:spacing w:before="120" w:after="120"/>
              <w:jc w:val="both"/>
              <w:rPr>
                <w:noProof/>
              </w:rPr>
            </w:pPr>
            <w:r w:rsidRPr="009B5391">
              <w:rPr>
                <w:noProof/>
              </w:rPr>
              <w:t xml:space="preserve">Středočeský kraj poskytl ze svého rozpočtu v roce 2014 transfer Regionální radě soudržnosti Střední Čechy ve výši 20 500,00 tis. Kč. Finanční prostředky byly určeny k pokrytí neinvestičních a investičních výdajů spojených s činností Regionální radě soudržnosti Střední Čechy. </w:t>
            </w:r>
          </w:p>
          <w:p w:rsidR="00D12BB6" w:rsidRDefault="00D12BB6" w:rsidP="00523DA4">
            <w:pPr>
              <w:jc w:val="both"/>
            </w:pPr>
          </w:p>
          <w:p w:rsidR="00523DA4" w:rsidRPr="009B5391" w:rsidRDefault="00523DA4" w:rsidP="00523DA4">
            <w:pPr>
              <w:jc w:val="both"/>
            </w:pPr>
            <w:r w:rsidRPr="009B5391">
              <w:t xml:space="preserve">Z rozpočtu kraje byly v roce 2014 schváleny obcím a dobrovolným svazkům obcí </w:t>
            </w:r>
            <w:r w:rsidR="00F715EF">
              <w:t>(DSO)</w:t>
            </w:r>
            <w:r w:rsidRPr="009B5391">
              <w:t xml:space="preserve"> poskytnuty v roce 2014 neinvestiční dotace v struktuře:</w:t>
            </w:r>
          </w:p>
          <w:tbl>
            <w:tblPr>
              <w:tblpPr w:leftFromText="141" w:rightFromText="141" w:horzAnchor="margin" w:tblpXSpec="center" w:tblpY="-255"/>
              <w:tblW w:w="11127" w:type="dxa"/>
              <w:tblLayout w:type="fixed"/>
              <w:tblCellMar>
                <w:left w:w="70" w:type="dxa"/>
                <w:right w:w="70" w:type="dxa"/>
              </w:tblCellMar>
              <w:tblLook w:val="00A0" w:firstRow="1" w:lastRow="0" w:firstColumn="1" w:lastColumn="0" w:noHBand="0" w:noVBand="0"/>
            </w:tblPr>
            <w:tblGrid>
              <w:gridCol w:w="8008"/>
              <w:gridCol w:w="2268"/>
              <w:gridCol w:w="851"/>
            </w:tblGrid>
            <w:tr w:rsidR="00523DA4" w:rsidRPr="009B5391" w:rsidTr="00730F1E">
              <w:trPr>
                <w:trHeight w:val="480"/>
              </w:trPr>
              <w:tc>
                <w:tcPr>
                  <w:tcW w:w="8008" w:type="dxa"/>
                  <w:tcBorders>
                    <w:top w:val="nil"/>
                    <w:left w:val="nil"/>
                    <w:bottom w:val="nil"/>
                    <w:right w:val="nil"/>
                  </w:tcBorders>
                  <w:noWrap/>
                  <w:vAlign w:val="bottom"/>
                </w:tcPr>
                <w:p w:rsidR="00523DA4" w:rsidRPr="009B5391" w:rsidRDefault="00523DA4" w:rsidP="00523DA4">
                  <w:pPr>
                    <w:widowControl/>
                    <w:autoSpaceDE/>
                    <w:autoSpaceDN/>
                    <w:adjustRightInd/>
                    <w:outlineLvl w:val="9"/>
                  </w:pPr>
                </w:p>
                <w:p w:rsidR="00523DA4" w:rsidRPr="009B5391" w:rsidRDefault="00523DA4" w:rsidP="00523DA4">
                  <w:pPr>
                    <w:widowControl/>
                    <w:autoSpaceDE/>
                    <w:autoSpaceDN/>
                    <w:adjustRightInd/>
                    <w:outlineLvl w:val="9"/>
                  </w:pPr>
                </w:p>
                <w:p w:rsidR="00523DA4" w:rsidRPr="009B5391" w:rsidRDefault="00523DA4" w:rsidP="00523DA4">
                  <w:pPr>
                    <w:widowControl/>
                    <w:autoSpaceDE/>
                    <w:autoSpaceDN/>
                    <w:adjustRightInd/>
                    <w:ind w:left="720"/>
                    <w:jc w:val="center"/>
                    <w:outlineLvl w:val="9"/>
                  </w:pPr>
                </w:p>
              </w:tc>
              <w:tc>
                <w:tcPr>
                  <w:tcW w:w="2268" w:type="dxa"/>
                  <w:tcBorders>
                    <w:top w:val="nil"/>
                    <w:left w:val="nil"/>
                    <w:bottom w:val="nil"/>
                    <w:right w:val="nil"/>
                  </w:tcBorders>
                  <w:noWrap/>
                  <w:vAlign w:val="bottom"/>
                </w:tcPr>
                <w:p w:rsidR="00523DA4" w:rsidRPr="009B5391" w:rsidRDefault="00523DA4" w:rsidP="00523DA4">
                  <w:pPr>
                    <w:widowControl/>
                    <w:autoSpaceDE/>
                    <w:autoSpaceDN/>
                    <w:adjustRightInd/>
                    <w:outlineLvl w:val="9"/>
                  </w:pPr>
                </w:p>
              </w:tc>
              <w:tc>
                <w:tcPr>
                  <w:tcW w:w="851" w:type="dxa"/>
                  <w:tcBorders>
                    <w:top w:val="nil"/>
                    <w:left w:val="nil"/>
                    <w:bottom w:val="nil"/>
                    <w:right w:val="nil"/>
                  </w:tcBorders>
                  <w:noWrap/>
                  <w:vAlign w:val="bottom"/>
                </w:tcPr>
                <w:p w:rsidR="00523DA4" w:rsidRPr="009B5391" w:rsidRDefault="00523DA4" w:rsidP="00523DA4">
                  <w:pPr>
                    <w:widowControl/>
                    <w:autoSpaceDE/>
                    <w:autoSpaceDN/>
                    <w:adjustRightInd/>
                    <w:outlineLvl w:val="9"/>
                  </w:pPr>
                </w:p>
              </w:tc>
            </w:tr>
          </w:tbl>
          <w:tbl>
            <w:tblPr>
              <w:tblW w:w="9443" w:type="dxa"/>
              <w:tblInd w:w="55" w:type="dxa"/>
              <w:tblLayout w:type="fixed"/>
              <w:tblCellMar>
                <w:left w:w="70" w:type="dxa"/>
                <w:right w:w="70" w:type="dxa"/>
              </w:tblCellMar>
              <w:tblLook w:val="0000" w:firstRow="0" w:lastRow="0" w:firstColumn="0" w:lastColumn="0" w:noHBand="0" w:noVBand="0"/>
            </w:tblPr>
            <w:tblGrid>
              <w:gridCol w:w="2009"/>
              <w:gridCol w:w="3766"/>
              <w:gridCol w:w="1680"/>
              <w:gridCol w:w="1988"/>
            </w:tblGrid>
            <w:tr w:rsidR="00523DA4" w:rsidRPr="009B5391" w:rsidTr="006E29BB">
              <w:trPr>
                <w:trHeight w:val="315"/>
              </w:trPr>
              <w:tc>
                <w:tcPr>
                  <w:tcW w:w="2009" w:type="dxa"/>
                  <w:tcBorders>
                    <w:top w:val="nil"/>
                    <w:left w:val="nil"/>
                    <w:bottom w:val="nil"/>
                    <w:right w:val="nil"/>
                  </w:tcBorders>
                  <w:noWrap/>
                  <w:vAlign w:val="bottom"/>
                </w:tcPr>
                <w:p w:rsidR="00523DA4" w:rsidRDefault="00523DA4" w:rsidP="00730F1E">
                  <w:pPr>
                    <w:widowControl/>
                    <w:autoSpaceDE/>
                    <w:autoSpaceDN/>
                    <w:adjustRightInd/>
                    <w:outlineLvl w:val="9"/>
                  </w:pPr>
                </w:p>
                <w:p w:rsidR="00B04F37" w:rsidRPr="009B5391" w:rsidRDefault="00B04F37" w:rsidP="00730F1E">
                  <w:pPr>
                    <w:widowControl/>
                    <w:autoSpaceDE/>
                    <w:autoSpaceDN/>
                    <w:adjustRightInd/>
                    <w:outlineLvl w:val="9"/>
                  </w:pPr>
                </w:p>
              </w:tc>
              <w:tc>
                <w:tcPr>
                  <w:tcW w:w="3766" w:type="dxa"/>
                  <w:tcBorders>
                    <w:top w:val="nil"/>
                    <w:left w:val="nil"/>
                    <w:bottom w:val="nil"/>
                    <w:right w:val="nil"/>
                  </w:tcBorders>
                  <w:noWrap/>
                  <w:vAlign w:val="bottom"/>
                </w:tcPr>
                <w:p w:rsidR="00523DA4" w:rsidRPr="009B5391" w:rsidRDefault="00523DA4" w:rsidP="00730F1E">
                  <w:pPr>
                    <w:widowControl/>
                    <w:autoSpaceDE/>
                    <w:autoSpaceDN/>
                    <w:adjustRightInd/>
                    <w:outlineLvl w:val="9"/>
                  </w:pPr>
                </w:p>
              </w:tc>
              <w:tc>
                <w:tcPr>
                  <w:tcW w:w="1680" w:type="dxa"/>
                  <w:tcBorders>
                    <w:top w:val="nil"/>
                    <w:left w:val="nil"/>
                    <w:bottom w:val="nil"/>
                    <w:right w:val="nil"/>
                  </w:tcBorders>
                  <w:noWrap/>
                  <w:vAlign w:val="bottom"/>
                </w:tcPr>
                <w:p w:rsidR="00523DA4" w:rsidRPr="009B5391" w:rsidRDefault="00523DA4" w:rsidP="00730F1E">
                  <w:pPr>
                    <w:widowControl/>
                    <w:autoSpaceDE/>
                    <w:autoSpaceDN/>
                    <w:adjustRightInd/>
                    <w:outlineLvl w:val="9"/>
                  </w:pPr>
                </w:p>
              </w:tc>
              <w:tc>
                <w:tcPr>
                  <w:tcW w:w="1988" w:type="dxa"/>
                  <w:tcBorders>
                    <w:top w:val="nil"/>
                    <w:left w:val="nil"/>
                    <w:bottom w:val="nil"/>
                    <w:right w:val="nil"/>
                  </w:tcBorders>
                  <w:noWrap/>
                  <w:vAlign w:val="bottom"/>
                </w:tcPr>
                <w:p w:rsidR="00523DA4" w:rsidRPr="009B5391" w:rsidRDefault="00523DA4" w:rsidP="00D12BB6">
                  <w:pPr>
                    <w:widowControl/>
                    <w:autoSpaceDE/>
                    <w:autoSpaceDN/>
                    <w:adjustRightInd/>
                    <w:jc w:val="right"/>
                    <w:outlineLvl w:val="9"/>
                  </w:pPr>
                  <w:r w:rsidRPr="009B5391">
                    <w:t xml:space="preserve">               (v tis.Kč)</w:t>
                  </w:r>
                </w:p>
              </w:tc>
            </w:tr>
            <w:tr w:rsidR="00523DA4" w:rsidRPr="009B5391" w:rsidTr="006E29BB">
              <w:trPr>
                <w:trHeight w:val="435"/>
              </w:trPr>
              <w:tc>
                <w:tcPr>
                  <w:tcW w:w="5775" w:type="dxa"/>
                  <w:gridSpan w:val="2"/>
                  <w:vMerge w:val="restart"/>
                  <w:tcBorders>
                    <w:top w:val="single" w:sz="8" w:space="0" w:color="auto"/>
                    <w:left w:val="single" w:sz="8" w:space="0" w:color="auto"/>
                    <w:bottom w:val="single" w:sz="8" w:space="0" w:color="000000"/>
                    <w:right w:val="single" w:sz="4" w:space="0" w:color="000000"/>
                  </w:tcBorders>
                  <w:noWrap/>
                  <w:vAlign w:val="center"/>
                </w:tcPr>
                <w:p w:rsidR="00523DA4" w:rsidRPr="009B5391" w:rsidRDefault="00523DA4" w:rsidP="00730F1E">
                  <w:pPr>
                    <w:widowControl/>
                    <w:autoSpaceDE/>
                    <w:autoSpaceDN/>
                    <w:adjustRightInd/>
                    <w:jc w:val="center"/>
                    <w:outlineLvl w:val="9"/>
                  </w:pPr>
                  <w:r w:rsidRPr="009B5391">
                    <w:t>Dotační titul za souhrn obcí  a DSO kraje</w:t>
                  </w:r>
                </w:p>
              </w:tc>
              <w:tc>
                <w:tcPr>
                  <w:tcW w:w="1680" w:type="dxa"/>
                  <w:vMerge w:val="restart"/>
                  <w:tcBorders>
                    <w:top w:val="single" w:sz="8" w:space="0" w:color="auto"/>
                    <w:left w:val="single" w:sz="4" w:space="0" w:color="auto"/>
                    <w:bottom w:val="single" w:sz="8" w:space="0" w:color="000000"/>
                    <w:right w:val="single" w:sz="4" w:space="0" w:color="auto"/>
                  </w:tcBorders>
                  <w:vAlign w:val="center"/>
                </w:tcPr>
                <w:p w:rsidR="00523DA4" w:rsidRPr="009B5391" w:rsidRDefault="00523DA4" w:rsidP="007818B6">
                  <w:pPr>
                    <w:widowControl/>
                    <w:autoSpaceDE/>
                    <w:autoSpaceDN/>
                    <w:adjustRightInd/>
                    <w:jc w:val="center"/>
                    <w:outlineLvl w:val="9"/>
                  </w:pPr>
                  <w:r w:rsidRPr="009B5391">
                    <w:t>Výše transferů sc</w:t>
                  </w:r>
                  <w:r w:rsidR="007818B6">
                    <w:t>hválených zastupitelstvem k 31.12.</w:t>
                  </w:r>
                  <w:r w:rsidRPr="009B5391">
                    <w:t>2014</w:t>
                  </w:r>
                </w:p>
              </w:tc>
              <w:tc>
                <w:tcPr>
                  <w:tcW w:w="1988" w:type="dxa"/>
                  <w:vMerge w:val="restart"/>
                  <w:tcBorders>
                    <w:top w:val="single" w:sz="8" w:space="0" w:color="auto"/>
                    <w:left w:val="nil"/>
                    <w:bottom w:val="single" w:sz="8" w:space="0" w:color="000000"/>
                    <w:right w:val="single" w:sz="8" w:space="0" w:color="auto"/>
                  </w:tcBorders>
                  <w:vAlign w:val="center"/>
                </w:tcPr>
                <w:p w:rsidR="00523DA4" w:rsidRPr="009B5391" w:rsidRDefault="00523DA4" w:rsidP="007818B6">
                  <w:pPr>
                    <w:widowControl/>
                    <w:autoSpaceDE/>
                    <w:autoSpaceDN/>
                    <w:adjustRightInd/>
                    <w:jc w:val="center"/>
                    <w:outlineLvl w:val="9"/>
                  </w:pPr>
                  <w:r w:rsidRPr="009B5391">
                    <w:t>Výše skutečně poskytnutých transferů k 31.</w:t>
                  </w:r>
                  <w:r w:rsidR="007818B6">
                    <w:t>12.</w:t>
                  </w:r>
                  <w:r w:rsidRPr="009B5391">
                    <w:t>2014</w:t>
                  </w:r>
                </w:p>
              </w:tc>
            </w:tr>
            <w:tr w:rsidR="00523DA4" w:rsidRPr="009B5391" w:rsidTr="006E29BB">
              <w:trPr>
                <w:trHeight w:val="300"/>
              </w:trPr>
              <w:tc>
                <w:tcPr>
                  <w:tcW w:w="5775" w:type="dxa"/>
                  <w:gridSpan w:val="2"/>
                  <w:vMerge/>
                  <w:tcBorders>
                    <w:top w:val="single" w:sz="8" w:space="0" w:color="auto"/>
                    <w:left w:val="single" w:sz="8" w:space="0" w:color="auto"/>
                    <w:bottom w:val="single" w:sz="8" w:space="0" w:color="000000"/>
                    <w:right w:val="single" w:sz="4" w:space="0" w:color="000000"/>
                  </w:tcBorders>
                  <w:vAlign w:val="center"/>
                </w:tcPr>
                <w:p w:rsidR="00523DA4" w:rsidRPr="009B5391" w:rsidRDefault="00523DA4" w:rsidP="00730F1E">
                  <w:pPr>
                    <w:widowControl/>
                    <w:autoSpaceDE/>
                    <w:autoSpaceDN/>
                    <w:adjustRightInd/>
                    <w:outlineLvl w:val="9"/>
                  </w:pPr>
                </w:p>
              </w:tc>
              <w:tc>
                <w:tcPr>
                  <w:tcW w:w="1680" w:type="dxa"/>
                  <w:vMerge/>
                  <w:tcBorders>
                    <w:top w:val="single" w:sz="8" w:space="0" w:color="auto"/>
                    <w:left w:val="single" w:sz="4" w:space="0" w:color="auto"/>
                    <w:bottom w:val="single" w:sz="8" w:space="0" w:color="000000"/>
                    <w:right w:val="single" w:sz="4" w:space="0" w:color="auto"/>
                  </w:tcBorders>
                  <w:vAlign w:val="center"/>
                </w:tcPr>
                <w:p w:rsidR="00523DA4" w:rsidRPr="009B5391" w:rsidRDefault="00523DA4" w:rsidP="00730F1E">
                  <w:pPr>
                    <w:widowControl/>
                    <w:autoSpaceDE/>
                    <w:autoSpaceDN/>
                    <w:adjustRightInd/>
                    <w:outlineLvl w:val="9"/>
                  </w:pPr>
                </w:p>
              </w:tc>
              <w:tc>
                <w:tcPr>
                  <w:tcW w:w="1988" w:type="dxa"/>
                  <w:vMerge/>
                  <w:tcBorders>
                    <w:top w:val="single" w:sz="8" w:space="0" w:color="auto"/>
                    <w:left w:val="nil"/>
                    <w:bottom w:val="single" w:sz="8" w:space="0" w:color="000000"/>
                    <w:right w:val="single" w:sz="8" w:space="0" w:color="auto"/>
                  </w:tcBorders>
                  <w:vAlign w:val="center"/>
                </w:tcPr>
                <w:p w:rsidR="00523DA4" w:rsidRPr="009B5391" w:rsidRDefault="00523DA4" w:rsidP="00730F1E">
                  <w:pPr>
                    <w:widowControl/>
                    <w:autoSpaceDE/>
                    <w:autoSpaceDN/>
                    <w:adjustRightInd/>
                    <w:outlineLvl w:val="9"/>
                  </w:pPr>
                </w:p>
              </w:tc>
            </w:tr>
            <w:tr w:rsidR="00523DA4" w:rsidRPr="009B5391" w:rsidTr="006E29BB">
              <w:trPr>
                <w:trHeight w:val="300"/>
              </w:trPr>
              <w:tc>
                <w:tcPr>
                  <w:tcW w:w="5775" w:type="dxa"/>
                  <w:gridSpan w:val="2"/>
                  <w:tcBorders>
                    <w:top w:val="single" w:sz="8" w:space="0" w:color="auto"/>
                    <w:left w:val="single" w:sz="8" w:space="0" w:color="auto"/>
                    <w:bottom w:val="single" w:sz="4" w:space="0" w:color="auto"/>
                    <w:right w:val="single" w:sz="4" w:space="0" w:color="000000"/>
                  </w:tcBorders>
                  <w:noWrap/>
                  <w:vAlign w:val="bottom"/>
                </w:tcPr>
                <w:p w:rsidR="00523DA4" w:rsidRPr="009B5391" w:rsidRDefault="00523DA4" w:rsidP="00730F1E">
                  <w:pPr>
                    <w:widowControl/>
                    <w:autoSpaceDE/>
                    <w:autoSpaceDN/>
                    <w:adjustRightInd/>
                    <w:outlineLvl w:val="9"/>
                    <w:rPr>
                      <w:b/>
                      <w:bCs/>
                    </w:rPr>
                  </w:pPr>
                  <w:r w:rsidRPr="009B5391">
                    <w:rPr>
                      <w:b/>
                      <w:bCs/>
                    </w:rPr>
                    <w:t>Obce: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570"/>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podpory dobrovolných hasičů a složek IZS</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19 903,24</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8 943,47</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hejtmana a zmírnění následků živelných katastrof</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4 002,06</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1 064,00</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Dotace na zajištění provozu přívozů</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960,00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958,14</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vzdělávání, sportu, volného času a primární prevence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926,81</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925,48</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Sportovní soutěže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553,10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547,54</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Protidrogová prevence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117,00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104,66</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 xml:space="preserve">Středočeský Fond kultury a obnovy památek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6 055,61</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5 074,33</w:t>
                  </w:r>
                </w:p>
              </w:tc>
            </w:tr>
            <w:tr w:rsidR="00523DA4" w:rsidRPr="009B5391" w:rsidTr="002C5E25">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Regionální funkce knihoven</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4 370,00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4 370,00</w:t>
                  </w:r>
                </w:p>
              </w:tc>
            </w:tr>
            <w:tr w:rsidR="00523DA4" w:rsidRPr="009B5391" w:rsidTr="002C5E25">
              <w:trPr>
                <w:trHeight w:val="285"/>
              </w:trPr>
              <w:tc>
                <w:tcPr>
                  <w:tcW w:w="5775" w:type="dxa"/>
                  <w:gridSpan w:val="2"/>
                  <w:tcBorders>
                    <w:top w:val="single" w:sz="4" w:space="0" w:color="auto"/>
                    <w:left w:val="single" w:sz="8" w:space="0" w:color="auto"/>
                    <w:bottom w:val="single" w:sz="4" w:space="0" w:color="auto"/>
                    <w:right w:val="single" w:sz="4" w:space="0" w:color="auto"/>
                  </w:tcBorders>
                  <w:vAlign w:val="bottom"/>
                </w:tcPr>
                <w:p w:rsidR="00523DA4" w:rsidRPr="009B5391" w:rsidRDefault="00523DA4" w:rsidP="00730F1E">
                  <w:pPr>
                    <w:widowControl/>
                    <w:autoSpaceDE/>
                    <w:autoSpaceDN/>
                    <w:adjustRightInd/>
                    <w:outlineLvl w:val="9"/>
                  </w:pPr>
                  <w:r w:rsidRPr="009B5391">
                    <w:t>Záchytné stanice</w:t>
                  </w:r>
                </w:p>
              </w:tc>
              <w:tc>
                <w:tcPr>
                  <w:tcW w:w="1680" w:type="dxa"/>
                  <w:tcBorders>
                    <w:top w:val="single" w:sz="4" w:space="0" w:color="auto"/>
                    <w:left w:val="single" w:sz="4" w:space="0" w:color="auto"/>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2 500,00</w:t>
                  </w:r>
                </w:p>
              </w:tc>
              <w:tc>
                <w:tcPr>
                  <w:tcW w:w="1988" w:type="dxa"/>
                  <w:tcBorders>
                    <w:top w:val="single" w:sz="4" w:space="0" w:color="auto"/>
                    <w:left w:val="single" w:sz="4" w:space="0" w:color="auto"/>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2 500,00</w:t>
                  </w:r>
                </w:p>
              </w:tc>
            </w:tr>
            <w:tr w:rsidR="00523DA4" w:rsidRPr="009B5391" w:rsidTr="002C5E25">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0E2248">
                  <w:pPr>
                    <w:widowControl/>
                    <w:autoSpaceDE/>
                    <w:autoSpaceDN/>
                    <w:adjustRightInd/>
                    <w:outlineLvl w:val="9"/>
                  </w:pPr>
                  <w:r w:rsidRPr="009B5391">
                    <w:t xml:space="preserve">Středočeský </w:t>
                  </w:r>
                  <w:r w:rsidR="000E2248">
                    <w:t>F</w:t>
                  </w:r>
                  <w:r w:rsidRPr="009B5391">
                    <w:t>ond podpory malého a středního podnikání</w:t>
                  </w:r>
                </w:p>
              </w:tc>
              <w:tc>
                <w:tcPr>
                  <w:tcW w:w="1680" w:type="dxa"/>
                  <w:tcBorders>
                    <w:top w:val="single" w:sz="4" w:space="0" w:color="auto"/>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7,93</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0,00</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lastRenderedPageBreak/>
                    <w:t>Středočeský Fond rozvoje obcí a měst</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32 463,80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15 725,19</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 xml:space="preserve">Středočeský Fond cestovního ruchu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1 171,07</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872,60</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Vesnice roku</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500,00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500,00</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Příspěvky na hospodaření v</w:t>
                  </w:r>
                  <w:r w:rsidR="00401996">
                    <w:t> </w:t>
                  </w:r>
                  <w:r w:rsidRPr="009B5391">
                    <w:t>lesích</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1 460,07</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1 460,07</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životního prostředí a zemědělství</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10 609,61</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3 657,58</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Havarijní fond pro ochranu jakosti vod</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7 633,06</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276,54</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Prevence vzniku odpadů</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500,00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380,00</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Platby za odebrané množstí podzemní vody</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730,87</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315,95</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humanitární fond</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2 936,08</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2 031,99</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BD10AA" w:rsidRDefault="00BD10AA" w:rsidP="00730F1E">
                  <w:pPr>
                    <w:widowControl/>
                    <w:autoSpaceDE/>
                    <w:autoSpaceDN/>
                    <w:adjustRightInd/>
                    <w:outlineLvl w:val="9"/>
                    <w:rPr>
                      <w:b/>
                    </w:rPr>
                  </w:pPr>
                  <w:r>
                    <w:rPr>
                      <w:b/>
                    </w:rPr>
                    <w:t xml:space="preserve">DSO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285"/>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 xml:space="preserve">Středočeský Fond cestovního ruchu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143,20</w:t>
                  </w:r>
                </w:p>
              </w:tc>
              <w:tc>
                <w:tcPr>
                  <w:tcW w:w="198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143,20</w:t>
                  </w:r>
                </w:p>
              </w:tc>
            </w:tr>
            <w:tr w:rsidR="00523DA4" w:rsidRPr="009B5391" w:rsidTr="006E29BB">
              <w:trPr>
                <w:trHeight w:val="300"/>
              </w:trPr>
              <w:tc>
                <w:tcPr>
                  <w:tcW w:w="5775" w:type="dxa"/>
                  <w:gridSpan w:val="2"/>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životního prostředí a zemědělství</w:t>
                  </w:r>
                </w:p>
              </w:tc>
              <w:tc>
                <w:tcPr>
                  <w:tcW w:w="1680" w:type="dxa"/>
                  <w:tcBorders>
                    <w:top w:val="nil"/>
                    <w:left w:val="nil"/>
                    <w:bottom w:val="single" w:sz="8"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1 550,00</w:t>
                  </w:r>
                </w:p>
              </w:tc>
              <w:tc>
                <w:tcPr>
                  <w:tcW w:w="1988" w:type="dxa"/>
                  <w:tcBorders>
                    <w:top w:val="nil"/>
                    <w:left w:val="nil"/>
                    <w:bottom w:val="single" w:sz="8"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0,00</w:t>
                  </w:r>
                </w:p>
              </w:tc>
            </w:tr>
            <w:tr w:rsidR="00523DA4" w:rsidRPr="009B5391" w:rsidTr="006E29BB">
              <w:trPr>
                <w:trHeight w:val="435"/>
              </w:trPr>
              <w:tc>
                <w:tcPr>
                  <w:tcW w:w="5775" w:type="dxa"/>
                  <w:gridSpan w:val="2"/>
                  <w:tcBorders>
                    <w:top w:val="single" w:sz="8" w:space="0" w:color="auto"/>
                    <w:left w:val="single" w:sz="8" w:space="0" w:color="auto"/>
                    <w:bottom w:val="single" w:sz="8" w:space="0" w:color="auto"/>
                    <w:right w:val="single" w:sz="4" w:space="0" w:color="000000"/>
                  </w:tcBorders>
                  <w:noWrap/>
                  <w:vAlign w:val="bottom"/>
                </w:tcPr>
                <w:p w:rsidR="00523DA4" w:rsidRPr="009B5391" w:rsidRDefault="00523DA4" w:rsidP="00730F1E">
                  <w:pPr>
                    <w:widowControl/>
                    <w:autoSpaceDE/>
                    <w:autoSpaceDN/>
                    <w:adjustRightInd/>
                    <w:outlineLvl w:val="9"/>
                    <w:rPr>
                      <w:b/>
                      <w:bCs/>
                    </w:rPr>
                  </w:pPr>
                  <w:r w:rsidRPr="009B5391">
                    <w:rPr>
                      <w:b/>
                      <w:bCs/>
                    </w:rPr>
                    <w:t>Kraj celkem</w:t>
                  </w:r>
                </w:p>
              </w:tc>
              <w:tc>
                <w:tcPr>
                  <w:tcW w:w="1680" w:type="dxa"/>
                  <w:tcBorders>
                    <w:top w:val="nil"/>
                    <w:left w:val="nil"/>
                    <w:bottom w:val="single" w:sz="8"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99 093,48</w:t>
                  </w:r>
                </w:p>
              </w:tc>
              <w:tc>
                <w:tcPr>
                  <w:tcW w:w="1988" w:type="dxa"/>
                  <w:tcBorders>
                    <w:top w:val="nil"/>
                    <w:left w:val="nil"/>
                    <w:bottom w:val="single" w:sz="8"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49 850,75</w:t>
                  </w:r>
                </w:p>
              </w:tc>
            </w:tr>
          </w:tbl>
          <w:p w:rsidR="00523DA4" w:rsidRPr="009B5391" w:rsidRDefault="00523DA4" w:rsidP="00523DA4">
            <w:pPr>
              <w:widowControl/>
              <w:autoSpaceDE/>
              <w:autoSpaceDN/>
              <w:adjustRightInd/>
              <w:jc w:val="both"/>
              <w:outlineLvl w:val="9"/>
              <w:rPr>
                <w:b/>
                <w:bCs/>
              </w:rPr>
            </w:pPr>
          </w:p>
          <w:p w:rsidR="00523DA4" w:rsidRPr="009B5391" w:rsidRDefault="00523DA4" w:rsidP="00523DA4">
            <w:pPr>
              <w:widowControl/>
              <w:autoSpaceDE/>
              <w:autoSpaceDN/>
              <w:adjustRightInd/>
              <w:jc w:val="both"/>
              <w:outlineLvl w:val="9"/>
            </w:pPr>
            <w:r w:rsidRPr="009B5391">
              <w:t>V oblasti investičních dotací :</w:t>
            </w:r>
          </w:p>
          <w:tbl>
            <w:tblPr>
              <w:tblW w:w="9433" w:type="dxa"/>
              <w:tblInd w:w="55" w:type="dxa"/>
              <w:tblLayout w:type="fixed"/>
              <w:tblCellMar>
                <w:left w:w="70" w:type="dxa"/>
                <w:right w:w="70" w:type="dxa"/>
              </w:tblCellMar>
              <w:tblLook w:val="0000" w:firstRow="0" w:lastRow="0" w:firstColumn="0" w:lastColumn="0" w:noHBand="0" w:noVBand="0"/>
            </w:tblPr>
            <w:tblGrid>
              <w:gridCol w:w="5775"/>
              <w:gridCol w:w="1680"/>
              <w:gridCol w:w="1978"/>
            </w:tblGrid>
            <w:tr w:rsidR="00523DA4" w:rsidRPr="009B5391" w:rsidTr="006E29BB">
              <w:trPr>
                <w:trHeight w:val="435"/>
              </w:trPr>
              <w:tc>
                <w:tcPr>
                  <w:tcW w:w="5775" w:type="dxa"/>
                  <w:vMerge w:val="restart"/>
                  <w:tcBorders>
                    <w:top w:val="single" w:sz="8" w:space="0" w:color="auto"/>
                    <w:left w:val="single" w:sz="8" w:space="0" w:color="auto"/>
                    <w:bottom w:val="single" w:sz="8" w:space="0" w:color="000000"/>
                    <w:right w:val="single" w:sz="4" w:space="0" w:color="000000"/>
                  </w:tcBorders>
                  <w:vAlign w:val="center"/>
                </w:tcPr>
                <w:p w:rsidR="00523DA4" w:rsidRPr="009B5391" w:rsidRDefault="00523DA4" w:rsidP="00730F1E">
                  <w:pPr>
                    <w:widowControl/>
                    <w:autoSpaceDE/>
                    <w:autoSpaceDN/>
                    <w:adjustRightInd/>
                    <w:jc w:val="center"/>
                    <w:outlineLvl w:val="9"/>
                  </w:pPr>
                  <w:r w:rsidRPr="009B5391">
                    <w:t>Dotační titul za souhrn obcí a DSO kraje</w:t>
                  </w:r>
                </w:p>
              </w:tc>
              <w:tc>
                <w:tcPr>
                  <w:tcW w:w="1680" w:type="dxa"/>
                  <w:vMerge w:val="restart"/>
                  <w:tcBorders>
                    <w:top w:val="single" w:sz="8" w:space="0" w:color="auto"/>
                    <w:left w:val="single" w:sz="4" w:space="0" w:color="auto"/>
                    <w:bottom w:val="single" w:sz="8" w:space="0" w:color="000000"/>
                    <w:right w:val="single" w:sz="4" w:space="0" w:color="auto"/>
                  </w:tcBorders>
                  <w:vAlign w:val="center"/>
                </w:tcPr>
                <w:p w:rsidR="00523DA4" w:rsidRPr="009B5391" w:rsidRDefault="00523DA4" w:rsidP="00730F1E">
                  <w:pPr>
                    <w:widowControl/>
                    <w:autoSpaceDE/>
                    <w:autoSpaceDN/>
                    <w:adjustRightInd/>
                    <w:jc w:val="center"/>
                    <w:outlineLvl w:val="9"/>
                  </w:pPr>
                  <w:r w:rsidRPr="009B5391">
                    <w:t>Výše transferů schválených</w:t>
                  </w:r>
                  <w:r w:rsidR="00444AC8">
                    <w:t xml:space="preserve"> zastupitelstvem k 31.12.</w:t>
                  </w:r>
                  <w:r w:rsidRPr="009B5391">
                    <w:t>2014</w:t>
                  </w:r>
                </w:p>
              </w:tc>
              <w:tc>
                <w:tcPr>
                  <w:tcW w:w="1978" w:type="dxa"/>
                  <w:vMerge w:val="restart"/>
                  <w:tcBorders>
                    <w:top w:val="single" w:sz="8" w:space="0" w:color="auto"/>
                    <w:left w:val="nil"/>
                    <w:bottom w:val="single" w:sz="8" w:space="0" w:color="000000"/>
                    <w:right w:val="single" w:sz="8" w:space="0" w:color="auto"/>
                  </w:tcBorders>
                  <w:vAlign w:val="center"/>
                </w:tcPr>
                <w:p w:rsidR="00523DA4" w:rsidRPr="009B5391" w:rsidRDefault="00523DA4" w:rsidP="00444AC8">
                  <w:pPr>
                    <w:widowControl/>
                    <w:autoSpaceDE/>
                    <w:autoSpaceDN/>
                    <w:adjustRightInd/>
                    <w:jc w:val="center"/>
                    <w:outlineLvl w:val="9"/>
                  </w:pPr>
                  <w:r w:rsidRPr="009B5391">
                    <w:t>Výše skutečně posky</w:t>
                  </w:r>
                  <w:r w:rsidR="00444AC8">
                    <w:t>tnutých transferů k 31.12.</w:t>
                  </w:r>
                  <w:r w:rsidRPr="009B5391">
                    <w:t>2014</w:t>
                  </w:r>
                </w:p>
              </w:tc>
            </w:tr>
            <w:tr w:rsidR="00523DA4" w:rsidRPr="009B5391" w:rsidTr="006E29BB">
              <w:trPr>
                <w:trHeight w:val="300"/>
              </w:trPr>
              <w:tc>
                <w:tcPr>
                  <w:tcW w:w="5775" w:type="dxa"/>
                  <w:vMerge/>
                  <w:tcBorders>
                    <w:top w:val="single" w:sz="8" w:space="0" w:color="auto"/>
                    <w:left w:val="single" w:sz="8" w:space="0" w:color="auto"/>
                    <w:bottom w:val="single" w:sz="8" w:space="0" w:color="000000"/>
                    <w:right w:val="single" w:sz="4" w:space="0" w:color="000000"/>
                  </w:tcBorders>
                  <w:vAlign w:val="center"/>
                </w:tcPr>
                <w:p w:rsidR="00523DA4" w:rsidRPr="009B5391" w:rsidRDefault="00523DA4" w:rsidP="00730F1E">
                  <w:pPr>
                    <w:widowControl/>
                    <w:autoSpaceDE/>
                    <w:autoSpaceDN/>
                    <w:adjustRightInd/>
                    <w:outlineLvl w:val="9"/>
                  </w:pPr>
                </w:p>
              </w:tc>
              <w:tc>
                <w:tcPr>
                  <w:tcW w:w="1680" w:type="dxa"/>
                  <w:vMerge/>
                  <w:tcBorders>
                    <w:top w:val="single" w:sz="8" w:space="0" w:color="auto"/>
                    <w:left w:val="single" w:sz="4" w:space="0" w:color="auto"/>
                    <w:bottom w:val="single" w:sz="8" w:space="0" w:color="000000"/>
                    <w:right w:val="single" w:sz="4" w:space="0" w:color="auto"/>
                  </w:tcBorders>
                  <w:vAlign w:val="center"/>
                </w:tcPr>
                <w:p w:rsidR="00523DA4" w:rsidRPr="009B5391" w:rsidRDefault="00523DA4" w:rsidP="00730F1E">
                  <w:pPr>
                    <w:widowControl/>
                    <w:autoSpaceDE/>
                    <w:autoSpaceDN/>
                    <w:adjustRightInd/>
                    <w:outlineLvl w:val="9"/>
                  </w:pPr>
                </w:p>
              </w:tc>
              <w:tc>
                <w:tcPr>
                  <w:tcW w:w="1978" w:type="dxa"/>
                  <w:vMerge/>
                  <w:tcBorders>
                    <w:top w:val="single" w:sz="8" w:space="0" w:color="auto"/>
                    <w:left w:val="nil"/>
                    <w:bottom w:val="single" w:sz="8" w:space="0" w:color="000000"/>
                    <w:right w:val="single" w:sz="8" w:space="0" w:color="auto"/>
                  </w:tcBorders>
                  <w:vAlign w:val="center"/>
                </w:tcPr>
                <w:p w:rsidR="00523DA4" w:rsidRPr="009B5391" w:rsidRDefault="00523DA4" w:rsidP="00730F1E">
                  <w:pPr>
                    <w:widowControl/>
                    <w:autoSpaceDE/>
                    <w:autoSpaceDN/>
                    <w:adjustRightInd/>
                    <w:outlineLvl w:val="9"/>
                  </w:pPr>
                </w:p>
              </w:tc>
            </w:tr>
            <w:tr w:rsidR="00523DA4" w:rsidRPr="009B5391" w:rsidTr="006E29BB">
              <w:trPr>
                <w:trHeight w:val="300"/>
              </w:trPr>
              <w:tc>
                <w:tcPr>
                  <w:tcW w:w="5775" w:type="dxa"/>
                  <w:tcBorders>
                    <w:top w:val="single" w:sz="8"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rPr>
                      <w:b/>
                      <w:bCs/>
                    </w:rPr>
                  </w:pPr>
                  <w:r w:rsidRPr="009B5391">
                    <w:rPr>
                      <w:b/>
                      <w:bCs/>
                    </w:rPr>
                    <w:t>Obce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570"/>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podpory dobrovolných hasičů a složek IZS</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27 040,35</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8 470,09</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hejtmana a zmírnění následků živelných katastrof</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494,50</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334,50</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vzdělávání, sportu, volného času a primární prevence</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331,00</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295,07</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rozvoje obcí a měst</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147 478,16</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67 540,84</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 xml:space="preserve">Středočeský Fond cestovního ruchu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7 229,01</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1 197,37</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životního prostředí a zemědělství</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40 705,05</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9 528,69</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Havarijní fond pro ochranu jakosti vod</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10 172,01</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0,00</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Platby za odebrané množství podzemní vody</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102 347,58</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42 318,00</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Spolufinancování projektů EU</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45 132,00</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31 130,49</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Mimořádné dotace obcím</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4 899,26</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2 613,76</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humanitární fond</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772,53</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35,04</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jc w:val="center"/>
                    <w:outlineLvl w:val="9"/>
                  </w:pPr>
                  <w:r w:rsidRPr="009B5391">
                    <w:t> </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300"/>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rPr>
                      <w:b/>
                      <w:bCs/>
                    </w:rPr>
                  </w:pPr>
                  <w:r w:rsidRPr="009B5391">
                    <w:rPr>
                      <w:b/>
                      <w:bCs/>
                    </w:rPr>
                    <w:t>DSO</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outlineLvl w:val="9"/>
                  </w:pPr>
                  <w:r w:rsidRPr="009B5391">
                    <w:t> </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outlineLvl w:val="9"/>
                  </w:pPr>
                  <w:r w:rsidRPr="009B5391">
                    <w:t> </w:t>
                  </w:r>
                </w:p>
              </w:tc>
            </w:tr>
            <w:tr w:rsidR="00523DA4" w:rsidRPr="009B5391" w:rsidTr="006E29BB">
              <w:trPr>
                <w:trHeight w:val="285"/>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Platby za odebrané množství podzemní vody</w:t>
                  </w:r>
                </w:p>
              </w:tc>
              <w:tc>
                <w:tcPr>
                  <w:tcW w:w="1680" w:type="dxa"/>
                  <w:tcBorders>
                    <w:top w:val="nil"/>
                    <w:left w:val="nil"/>
                    <w:bottom w:val="single" w:sz="4"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10 331,72</w:t>
                  </w:r>
                </w:p>
              </w:tc>
              <w:tc>
                <w:tcPr>
                  <w:tcW w:w="1978" w:type="dxa"/>
                  <w:tcBorders>
                    <w:top w:val="nil"/>
                    <w:left w:val="nil"/>
                    <w:bottom w:val="single" w:sz="4"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0,00</w:t>
                  </w:r>
                </w:p>
              </w:tc>
            </w:tr>
            <w:tr w:rsidR="00523DA4" w:rsidRPr="009B5391" w:rsidTr="006E29BB">
              <w:trPr>
                <w:trHeight w:val="300"/>
              </w:trPr>
              <w:tc>
                <w:tcPr>
                  <w:tcW w:w="5775" w:type="dxa"/>
                  <w:tcBorders>
                    <w:top w:val="single" w:sz="4" w:space="0" w:color="auto"/>
                    <w:left w:val="single" w:sz="8" w:space="0" w:color="auto"/>
                    <w:bottom w:val="single" w:sz="4" w:space="0" w:color="auto"/>
                    <w:right w:val="single" w:sz="4" w:space="0" w:color="000000"/>
                  </w:tcBorders>
                  <w:vAlign w:val="bottom"/>
                </w:tcPr>
                <w:p w:rsidR="00523DA4" w:rsidRPr="009B5391" w:rsidRDefault="00523DA4" w:rsidP="00730F1E">
                  <w:pPr>
                    <w:widowControl/>
                    <w:autoSpaceDE/>
                    <w:autoSpaceDN/>
                    <w:adjustRightInd/>
                    <w:outlineLvl w:val="9"/>
                  </w:pPr>
                  <w:r w:rsidRPr="009B5391">
                    <w:t>Středočeský Fond životního prostředí a zemědělství</w:t>
                  </w:r>
                </w:p>
              </w:tc>
              <w:tc>
                <w:tcPr>
                  <w:tcW w:w="1680" w:type="dxa"/>
                  <w:tcBorders>
                    <w:top w:val="nil"/>
                    <w:left w:val="nil"/>
                    <w:bottom w:val="single" w:sz="8"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1 187,50</w:t>
                  </w:r>
                </w:p>
              </w:tc>
              <w:tc>
                <w:tcPr>
                  <w:tcW w:w="1978" w:type="dxa"/>
                  <w:tcBorders>
                    <w:top w:val="nil"/>
                    <w:left w:val="nil"/>
                    <w:bottom w:val="single" w:sz="8"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1 187,50</w:t>
                  </w:r>
                </w:p>
              </w:tc>
            </w:tr>
            <w:tr w:rsidR="00523DA4" w:rsidRPr="009B5391" w:rsidTr="006E29BB">
              <w:trPr>
                <w:trHeight w:val="435"/>
              </w:trPr>
              <w:tc>
                <w:tcPr>
                  <w:tcW w:w="5775" w:type="dxa"/>
                  <w:tcBorders>
                    <w:top w:val="single" w:sz="8" w:space="0" w:color="auto"/>
                    <w:left w:val="single" w:sz="8" w:space="0" w:color="auto"/>
                    <w:bottom w:val="single" w:sz="8" w:space="0" w:color="auto"/>
                    <w:right w:val="single" w:sz="4" w:space="0" w:color="000000"/>
                  </w:tcBorders>
                  <w:vAlign w:val="bottom"/>
                </w:tcPr>
                <w:p w:rsidR="00523DA4" w:rsidRPr="009B5391" w:rsidRDefault="00523DA4" w:rsidP="00730F1E">
                  <w:pPr>
                    <w:widowControl/>
                    <w:autoSpaceDE/>
                    <w:autoSpaceDN/>
                    <w:adjustRightInd/>
                    <w:outlineLvl w:val="9"/>
                    <w:rPr>
                      <w:b/>
                      <w:bCs/>
                    </w:rPr>
                  </w:pPr>
                  <w:r w:rsidRPr="009B5391">
                    <w:rPr>
                      <w:b/>
                      <w:bCs/>
                    </w:rPr>
                    <w:t>Kraj celkem</w:t>
                  </w:r>
                </w:p>
              </w:tc>
              <w:tc>
                <w:tcPr>
                  <w:tcW w:w="1680" w:type="dxa"/>
                  <w:tcBorders>
                    <w:top w:val="nil"/>
                    <w:left w:val="nil"/>
                    <w:bottom w:val="single" w:sz="8" w:space="0" w:color="auto"/>
                    <w:right w:val="single" w:sz="4" w:space="0" w:color="auto"/>
                  </w:tcBorders>
                  <w:noWrap/>
                  <w:vAlign w:val="bottom"/>
                </w:tcPr>
                <w:p w:rsidR="00523DA4" w:rsidRPr="009B5391" w:rsidRDefault="00523DA4" w:rsidP="00730F1E">
                  <w:pPr>
                    <w:widowControl/>
                    <w:autoSpaceDE/>
                    <w:autoSpaceDN/>
                    <w:adjustRightInd/>
                    <w:jc w:val="right"/>
                    <w:outlineLvl w:val="9"/>
                  </w:pPr>
                  <w:r w:rsidRPr="009B5391">
                    <w:t>398 120,68</w:t>
                  </w:r>
                </w:p>
              </w:tc>
              <w:tc>
                <w:tcPr>
                  <w:tcW w:w="1978" w:type="dxa"/>
                  <w:tcBorders>
                    <w:top w:val="nil"/>
                    <w:left w:val="nil"/>
                    <w:bottom w:val="single" w:sz="8" w:space="0" w:color="auto"/>
                    <w:right w:val="single" w:sz="8" w:space="0" w:color="auto"/>
                  </w:tcBorders>
                  <w:noWrap/>
                  <w:vAlign w:val="bottom"/>
                </w:tcPr>
                <w:p w:rsidR="00523DA4" w:rsidRPr="009B5391" w:rsidRDefault="00523DA4" w:rsidP="00730F1E">
                  <w:pPr>
                    <w:widowControl/>
                    <w:autoSpaceDE/>
                    <w:autoSpaceDN/>
                    <w:adjustRightInd/>
                    <w:jc w:val="right"/>
                    <w:outlineLvl w:val="9"/>
                  </w:pPr>
                  <w:r w:rsidRPr="009B5391">
                    <w:t>164 651,35</w:t>
                  </w:r>
                </w:p>
              </w:tc>
            </w:tr>
          </w:tbl>
          <w:p w:rsidR="008E0457" w:rsidRDefault="008E0457" w:rsidP="00863E40">
            <w:pPr>
              <w:spacing w:before="120" w:after="120"/>
              <w:jc w:val="both"/>
              <w:rPr>
                <w:noProof/>
              </w:rPr>
            </w:pPr>
          </w:p>
          <w:p w:rsidR="008E0457" w:rsidRDefault="008E0457" w:rsidP="00863E40">
            <w:pPr>
              <w:spacing w:before="120" w:after="120"/>
              <w:jc w:val="both"/>
              <w:rPr>
                <w:noProof/>
              </w:rPr>
            </w:pPr>
          </w:p>
          <w:p w:rsidR="002D1875" w:rsidRPr="009B5391" w:rsidRDefault="002D1875" w:rsidP="00863E40">
            <w:pPr>
              <w:spacing w:before="120" w:after="120"/>
              <w:jc w:val="both"/>
              <w:rPr>
                <w:noProof/>
              </w:rPr>
            </w:pPr>
            <w:r w:rsidRPr="009B5391">
              <w:rPr>
                <w:noProof/>
              </w:rPr>
              <w:t xml:space="preserve">Dluhová služba za úvěr nemocnic vyplývá z ručitelských prohlášení Středočeského kraje vystavených za úvěry oblastních nemocnic v Kladně, Příbrami a Kolíně zajišťujících splácení úvěrů poskytnutých těmto nemocnicím do celkové výše 1 843 mil. Kč z tohoto titulu obdržely v roce 2014 </w:t>
            </w:r>
            <w:r w:rsidRPr="009B5391">
              <w:rPr>
                <w:noProof/>
              </w:rPr>
              <w:lastRenderedPageBreak/>
              <w:t>jednotlivé akciové společnosti dotace ve výši:</w:t>
            </w:r>
          </w:p>
          <w:p w:rsidR="002D1875" w:rsidRPr="009B5391" w:rsidRDefault="002D1875" w:rsidP="00863E40">
            <w:pPr>
              <w:tabs>
                <w:tab w:val="left" w:pos="5670"/>
              </w:tabs>
              <w:ind w:left="1185"/>
              <w:jc w:val="both"/>
              <w:rPr>
                <w:noProof/>
              </w:rPr>
            </w:pPr>
            <w:r w:rsidRPr="009B5391">
              <w:rPr>
                <w:noProof/>
              </w:rPr>
              <w:t>Oblastní nemocnice Příbram                                70 968,10 tis. Kč</w:t>
            </w:r>
          </w:p>
          <w:p w:rsidR="002D1875" w:rsidRPr="009B5391" w:rsidRDefault="002D1875" w:rsidP="00863E40">
            <w:pPr>
              <w:ind w:left="1185"/>
              <w:jc w:val="both"/>
              <w:rPr>
                <w:noProof/>
              </w:rPr>
            </w:pPr>
            <w:r w:rsidRPr="009B5391">
              <w:rPr>
                <w:noProof/>
              </w:rPr>
              <w:t>Oblastní nemocnice Kolín</w:t>
            </w:r>
            <w:r w:rsidRPr="009B5391">
              <w:rPr>
                <w:noProof/>
              </w:rPr>
              <w:tab/>
              <w:t xml:space="preserve">                          16 859,71 tis. Kč</w:t>
            </w:r>
          </w:p>
          <w:p w:rsidR="002D1875" w:rsidRPr="009B5391" w:rsidRDefault="002D1875" w:rsidP="00863E40">
            <w:pPr>
              <w:ind w:left="1185"/>
              <w:jc w:val="both"/>
              <w:rPr>
                <w:noProof/>
              </w:rPr>
            </w:pPr>
            <w:r w:rsidRPr="009B5391">
              <w:rPr>
                <w:noProof/>
              </w:rPr>
              <w:t>Oblastní nemocnice Kladno                                 94 567,72 tis. Kč</w:t>
            </w:r>
          </w:p>
          <w:p w:rsidR="002D1875" w:rsidRPr="009B5391" w:rsidRDefault="002D1875" w:rsidP="00863E40">
            <w:pPr>
              <w:spacing w:before="120" w:after="120"/>
              <w:jc w:val="both"/>
              <w:rPr>
                <w:noProof/>
              </w:rPr>
            </w:pPr>
            <w:r w:rsidRPr="009B5391">
              <w:rPr>
                <w:noProof/>
              </w:rPr>
              <w:t xml:space="preserve">Celkem bylo těmto nemocnicím v roce 2014 poskytnuto z rozpočtu Středočeského kraje 182 395,53 tis. Kč. </w:t>
            </w:r>
          </w:p>
          <w:p w:rsidR="002D1875" w:rsidRPr="009B5391" w:rsidRDefault="002D1875" w:rsidP="00863E40">
            <w:pPr>
              <w:spacing w:before="120" w:after="120"/>
              <w:jc w:val="both"/>
              <w:rPr>
                <w:noProof/>
              </w:rPr>
            </w:pPr>
            <w:r w:rsidRPr="009B5391">
              <w:rPr>
                <w:noProof/>
              </w:rPr>
              <w:t>V roce 2014 byla uhrazena částka ve výši 500 000 tis. Kč na odložené financování v oblasti dopravy, která  zahrnuje náklady roku 2012 na zajištění souvislých oprav silnic II. a III. třídy ve správě SK formou odloženého financování, tj. s prodlouženou splatností dodavatelských faktur za rok 2012 ve lhůtě 24 kalendářních měsíců, jejichž úhrada proběhla v roce 2014. Odložené financování bylo schváleno usnesením č. 2-20/2011/ZK z 19. 12. 2011.</w:t>
            </w:r>
          </w:p>
          <w:p w:rsidR="002D1875" w:rsidRPr="009B5391" w:rsidRDefault="002D1875" w:rsidP="00863E40">
            <w:pPr>
              <w:spacing w:before="120" w:after="120"/>
              <w:jc w:val="both"/>
              <w:rPr>
                <w:noProof/>
              </w:rPr>
            </w:pPr>
            <w:r w:rsidRPr="009B5391">
              <w:rPr>
                <w:noProof/>
              </w:rPr>
              <w:t>Dalšími významnými výdaji byly běžné výdaje kapitol, grantové a dotační výdaje v rámci Středočeských fondů a investiční dotace v rámci programu na výměnu kotlů.</w:t>
            </w:r>
          </w:p>
          <w:p w:rsidR="002D1875" w:rsidRPr="009B5391" w:rsidRDefault="002D1875" w:rsidP="00863E40">
            <w:pPr>
              <w:spacing w:before="120" w:after="120"/>
              <w:jc w:val="both"/>
              <w:rPr>
                <w:noProof/>
              </w:rPr>
            </w:pPr>
            <w:r w:rsidRPr="009B5391">
              <w:rPr>
                <w:noProof/>
              </w:rPr>
              <w:t>Struktura dotačních titulů Středočeského kraje od roku 2014, včetně Pravidel pro poskytování účelových dotací z rozpočtu SK od roku 2014 v rámci Fondů Středočeského kraje a tematických zádání k těmto Pravidlům byla schválena usnesením č. 74-8/2013/ ZK ze dne 23.9.2013.</w:t>
            </w:r>
          </w:p>
          <w:p w:rsidR="002D1875" w:rsidRPr="009B5391" w:rsidRDefault="002D1875" w:rsidP="00863E40">
            <w:pPr>
              <w:spacing w:before="120" w:after="120"/>
              <w:jc w:val="both"/>
              <w:rPr>
                <w:noProof/>
              </w:rPr>
            </w:pPr>
            <w:r w:rsidRPr="009B5391">
              <w:rPr>
                <w:noProof/>
              </w:rPr>
              <w:t>Zásady tvorby Fondů Středočeského kraje byly schváleny usnesením č. 059-10/2014/ZK ze dne 24.2.2014. Fondy jsou tvořeny finančními prostředky z rozpočtu Středočeského kraje v rámci jednotlivých kapitol. Výše finančních prostředků pro jednotlivé Fondy pro kalendářní rok je schvalována Zastupitelstvem SK jako součást rozpočtu Středočeského kraje na kalendářní rok v rámci jednotlivých kapitol rozpočtu.</w:t>
            </w:r>
          </w:p>
          <w:p w:rsidR="002D1875" w:rsidRPr="009B5391" w:rsidRDefault="002D1875" w:rsidP="00863E40">
            <w:pPr>
              <w:spacing w:before="120" w:after="120"/>
              <w:jc w:val="both"/>
              <w:rPr>
                <w:noProof/>
              </w:rPr>
            </w:pPr>
            <w:r w:rsidRPr="009B5391">
              <w:rPr>
                <w:noProof/>
              </w:rPr>
              <w:t>Finanční prostředky jednotlivých Fondů Středočeského kraje nevyužité do konce příslušného kalendářního roku se převádějí do dalšího kalendářního roku a případná jejich účelovost se přitom zachovává. Konkrétní použití prostředků Fondů SK je upraveno jednotlivými Pravidly pro poskytování účelových dotací v rámci jednotlivých fondů a Tematickými zadáními, která jsou schvalována Zastupitelstvem kraje.</w:t>
            </w:r>
          </w:p>
          <w:p w:rsidR="002D1875" w:rsidRPr="009B5391" w:rsidRDefault="002D1875" w:rsidP="00863E40">
            <w:pPr>
              <w:spacing w:before="120" w:after="120"/>
              <w:jc w:val="both"/>
              <w:rPr>
                <w:noProof/>
              </w:rPr>
            </w:pPr>
            <w:r w:rsidRPr="009B5391">
              <w:rPr>
                <w:noProof/>
              </w:rPr>
              <w:t xml:space="preserve">Zastupitelstvo Středočeského kraje usnesením č. 4-9/2013/ZK  ze dne 9. 12. 2013 (Rozpočet Středočeského kraje na rok 2014) rozhodlo o čerpání dotací Středočeských fondů v celkové výši 267 000 tis. Kč. V rámci rozdělení přebytku hospodaření z roku 2013 byly do rozpočtu roku 2014 zapojeny nedočerpané účelové prostředky určené na Fondy Středočeského kraje. Prostředky fondů byly v roce 2014 čerpány na 43,2 %. V porovnání s rokem 2013 došlo k poklesu čerpání prostředků Středočeských fondů o 47,2 %. </w:t>
            </w:r>
          </w:p>
          <w:p w:rsidR="002D1875" w:rsidRPr="009B5391" w:rsidRDefault="002D1875" w:rsidP="00863E40">
            <w:pPr>
              <w:spacing w:before="120" w:after="120"/>
              <w:jc w:val="both"/>
              <w:rPr>
                <w:noProof/>
              </w:rPr>
            </w:pPr>
            <w:r w:rsidRPr="009B5391">
              <w:rPr>
                <w:noProof/>
              </w:rPr>
              <w:t>V rámci svého rozpočtu Středočeský kraj vyčleňuje finanční prostředky na předfinancování a kofinancování projektů spolufinancovaných z EU/EHP (jedná se o projekty kraje i příspěvkových organizací). Prostředky vynaložené na předfinancování a kofinancování projektů spolufinancovaných z EU/EHP jsou čerpány na základě Zásobníku projektů EU, který obsahuje souhrn projektů spolufinancovaných a kofinancovaných z EU/EHP a je schvalován Zastupitelstvem Středočeského kraje. V roce 2014 byly čerpány prostředky ve výši 449 336,91 tis. Kč, tj. 77,7 % upraveného rozpočtu. V porovnání s rokem 2013 se jedná o nárůst o 24,0 %.</w:t>
            </w:r>
          </w:p>
          <w:p w:rsidR="002D1875" w:rsidRPr="009B5391" w:rsidRDefault="002D1875" w:rsidP="00863E40">
            <w:pPr>
              <w:spacing w:before="120" w:after="120"/>
              <w:jc w:val="both"/>
              <w:rPr>
                <w:noProof/>
              </w:rPr>
            </w:pPr>
            <w:r w:rsidRPr="009B5391">
              <w:rPr>
                <w:noProof/>
              </w:rPr>
              <w:t>Kapitálové (investiční) výdaje jsou čerpány dle schváleného Plánu investic (je schvalován Zastupitelstvem Středočeského kraje), finanční prostředky jsou kryty vlastními zdroji rozpočtu Středočeského kraje a ze zůstatku přijatého úvěru.  V roce 2014 bylo čerpáno 387 746,56 tis. Kč. V porovnání s rokem 2013 se jedná o pokles o 19,7 %.</w:t>
            </w:r>
          </w:p>
          <w:p w:rsidR="002E6F47" w:rsidRDefault="002E6F47" w:rsidP="00863E40">
            <w:pPr>
              <w:spacing w:before="120" w:after="120"/>
              <w:jc w:val="both"/>
              <w:rPr>
                <w:b/>
                <w:bCs/>
                <w:noProof/>
              </w:rPr>
            </w:pPr>
          </w:p>
          <w:p w:rsidR="002E6F47" w:rsidRDefault="002E6F47" w:rsidP="00863E40">
            <w:pPr>
              <w:spacing w:before="120" w:after="120"/>
              <w:jc w:val="both"/>
              <w:rPr>
                <w:b/>
                <w:bCs/>
                <w:noProof/>
              </w:rPr>
            </w:pPr>
          </w:p>
          <w:p w:rsidR="002D1875" w:rsidRPr="009B5391" w:rsidRDefault="002D1875" w:rsidP="00863E40">
            <w:pPr>
              <w:spacing w:before="120" w:after="120"/>
              <w:jc w:val="both"/>
              <w:rPr>
                <w:noProof/>
              </w:rPr>
            </w:pPr>
            <w:r w:rsidRPr="009B5391">
              <w:rPr>
                <w:b/>
                <w:bCs/>
                <w:noProof/>
              </w:rPr>
              <w:lastRenderedPageBreak/>
              <w:t>Stav na účtech Středočeského kraje k 31. 12. 2014 činil 1 498 786,00 tis. Kč.</w:t>
            </w:r>
            <w:r w:rsidRPr="009B5391">
              <w:rPr>
                <w:noProof/>
              </w:rPr>
              <w:t xml:space="preserve"> Po odečtení zůstatku depozitního účtu (účet pro cizí prostředky) činil zůstatek na účtech </w:t>
            </w:r>
            <w:r w:rsidR="000A75A7">
              <w:rPr>
                <w:noProof/>
              </w:rPr>
              <w:t>S</w:t>
            </w:r>
            <w:r w:rsidRPr="009B5391">
              <w:rPr>
                <w:noProof/>
              </w:rPr>
              <w:t>tředočeského kraje 1 466 180,82 tis. Kč. V porovnání s rokem 2013 došlo k nárůstu finančních prostředků na účtech Středočeského kraje o 27,69 % (po odečtení zůstatku na depozitním účtu – účet pro cizí prostředky – vzrostly zůstatky na účtech o 27,99 %).</w:t>
            </w:r>
          </w:p>
          <w:p w:rsidR="002D1875" w:rsidRPr="009B5391" w:rsidRDefault="002D1875" w:rsidP="00863E40">
            <w:pPr>
              <w:spacing w:before="120" w:after="120"/>
              <w:jc w:val="both"/>
              <w:rPr>
                <w:noProof/>
              </w:rPr>
            </w:pPr>
            <w:r w:rsidRPr="009B5391">
              <w:rPr>
                <w:noProof/>
              </w:rPr>
              <w:t>Po vypořádání účelově vázaných prostředků z roku 2014,  které byly zapojeny do schváleného rozpočtu roku 2015 (usnesení Zastupitelstva Středočeského kraje č. 009-14/2014/ZK ze dne 8. 12. 2014) a rozděleny rozpočtovým opatředním č. 40/23/2015 (usnesení Rady Středočeského kraje č. 032-05/2015/RK ze dne 2. 2. 2015) mezi jednotlivé kapitoly rozpočtu Středočeského kraje, po vypořádání Havarijního fondu na ochranu jakosti vod, který byl zapojen do schváleného rozpočtu Středočeského kraje na rok 2015(usnesení Zastupitelstva Středočeského kraje č. 009-14/2014/ZK ze dne 8. 12. 2014) a zahrnutí vratky půjčky Sociálnímu fondu z roku 2014 na běžný účet Středočeského kraje, b</w:t>
            </w:r>
            <w:r w:rsidR="00696E34">
              <w:rPr>
                <w:noProof/>
              </w:rPr>
              <w:t>yl</w:t>
            </w:r>
            <w:r w:rsidRPr="009B5391">
              <w:rPr>
                <w:noProof/>
              </w:rPr>
              <w:t xml:space="preserve"> zůstatek hospodaření Středočeského kraje za rok 2014 rozdělen takto:</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finanční vypořádání se státním rozpočtem – odvody nedočerpaných účelových prostředků roku 2014,</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zapojení nedočerpaných účelových prostředků určených na projekty spolufinancované s EU/EHP z roku 2014 do rozpočtu jednotlivých kapitol v roce 2015,</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zapojení nedočerpaných účelových prostředků určených na fondy z roku 2014 do rozpočtu jednotlivých kapitol v roce 2015,</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zapojení nevyčerpaných kapitálových (investičních) prostředků v roce 2014 do rozpočtu Středočeského kraje na rok 2015,</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zapojení nevyčerpaných běžných výdajů do rozpočtu Středočeského kraje na rok 2015,</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zapojení finančních prostředků do rozpočtu jednotlivých kapitol - nové požadavky ve výši 131 300,00 tis. Kč,</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posílení prostředků na předfinancování a kofinancování projektů EU/EHP ve výši 126 381,16 tis. Kč,</w:t>
            </w:r>
          </w:p>
          <w:p w:rsidR="002D1875"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posílení investičních výdajů (rezerva Plánu investic) ve výši 10 000,00 tis. Kč.</w:t>
            </w:r>
          </w:p>
          <w:p w:rsidR="003D2C18" w:rsidRDefault="003D2C18" w:rsidP="003D2C18">
            <w:pPr>
              <w:widowControl/>
              <w:autoSpaceDE/>
              <w:autoSpaceDN/>
              <w:adjustRightInd/>
              <w:spacing w:line="340" w:lineRule="atLeast"/>
              <w:jc w:val="both"/>
              <w:outlineLvl w:val="9"/>
              <w:rPr>
                <w:noProof/>
              </w:rPr>
            </w:pPr>
          </w:p>
          <w:p w:rsidR="003D2C18" w:rsidRDefault="003D2C18" w:rsidP="003D2C18">
            <w:pPr>
              <w:widowControl/>
              <w:autoSpaceDE/>
              <w:autoSpaceDN/>
              <w:adjustRightInd/>
              <w:spacing w:line="340" w:lineRule="atLeast"/>
              <w:jc w:val="both"/>
              <w:outlineLvl w:val="9"/>
              <w:rPr>
                <w:noProof/>
              </w:rPr>
            </w:pPr>
            <w:r>
              <w:rPr>
                <w:noProof/>
              </w:rPr>
              <w:t>Rozdělení zůstatku hospodaření z roku 2014 bylo projednáno a schváleno Zastupitelstvem Středočeského kraje č.usnesení 006-16/2015/ZK ze dne 27.4.2015.</w:t>
            </w:r>
          </w:p>
          <w:p w:rsidR="003D2C18" w:rsidRPr="009B5391" w:rsidRDefault="003D2C18" w:rsidP="003D2C18">
            <w:pPr>
              <w:widowControl/>
              <w:autoSpaceDE/>
              <w:autoSpaceDN/>
              <w:adjustRightInd/>
              <w:spacing w:line="340" w:lineRule="atLeast"/>
              <w:jc w:val="both"/>
              <w:outlineLvl w:val="9"/>
              <w:rPr>
                <w:noProof/>
              </w:rPr>
            </w:pPr>
          </w:p>
          <w:p w:rsidR="002D1875" w:rsidRPr="009B5391" w:rsidRDefault="002D1875" w:rsidP="00863E40">
            <w:pPr>
              <w:spacing w:before="120"/>
              <w:jc w:val="both"/>
              <w:rPr>
                <w:noProof/>
              </w:rPr>
            </w:pPr>
            <w:r w:rsidRPr="009B5391">
              <w:rPr>
                <w:noProof/>
              </w:rPr>
              <w:t>Prostředky na dofinancování výstavby základních škol v prstenci kolem Hlavního města Prahy budou řešeny v rámci rozpočtu na rok 2016. Jiné řešení považuje Rada kraje za nesystémové.</w:t>
            </w:r>
          </w:p>
          <w:p w:rsidR="00576B38" w:rsidRPr="009B5391" w:rsidRDefault="00576B38" w:rsidP="00576B38">
            <w:pPr>
              <w:widowControl/>
              <w:autoSpaceDE/>
              <w:autoSpaceDN/>
              <w:adjustRightInd/>
              <w:ind w:right="-1199"/>
              <w:jc w:val="both"/>
              <w:outlineLvl w:val="9"/>
              <w:rPr>
                <w:b/>
                <w:bCs/>
              </w:rPr>
            </w:pPr>
          </w:p>
          <w:p w:rsidR="003C64A8" w:rsidRDefault="00406A8A" w:rsidP="00DB1D60">
            <w:pPr>
              <w:widowControl/>
              <w:autoSpaceDE/>
              <w:autoSpaceDN/>
              <w:adjustRightInd/>
              <w:ind w:right="-1199"/>
              <w:outlineLvl w:val="9"/>
              <w:rPr>
                <w:bCs/>
              </w:rPr>
            </w:pPr>
            <w:r>
              <w:rPr>
                <w:bCs/>
              </w:rPr>
              <w:t>V</w:t>
            </w:r>
            <w:r w:rsidR="00FD4184">
              <w:rPr>
                <w:bCs/>
              </w:rPr>
              <w:t xml:space="preserve">  </w:t>
            </w:r>
            <w:r>
              <w:rPr>
                <w:bCs/>
              </w:rPr>
              <w:t xml:space="preserve"> průběhu </w:t>
            </w:r>
            <w:r w:rsidR="00781886">
              <w:rPr>
                <w:bCs/>
              </w:rPr>
              <w:t xml:space="preserve">  </w:t>
            </w:r>
            <w:r>
              <w:rPr>
                <w:bCs/>
              </w:rPr>
              <w:t>roku</w:t>
            </w:r>
            <w:r w:rsidR="00781886">
              <w:rPr>
                <w:bCs/>
              </w:rPr>
              <w:t xml:space="preserve"> </w:t>
            </w:r>
            <w:r>
              <w:rPr>
                <w:bCs/>
              </w:rPr>
              <w:t xml:space="preserve"> 2014</w:t>
            </w:r>
            <w:r w:rsidR="00781886">
              <w:rPr>
                <w:bCs/>
              </w:rPr>
              <w:t xml:space="preserve"> </w:t>
            </w:r>
            <w:r>
              <w:rPr>
                <w:bCs/>
              </w:rPr>
              <w:t xml:space="preserve"> byl</w:t>
            </w:r>
            <w:r w:rsidR="006F5AFF">
              <w:rPr>
                <w:bCs/>
              </w:rPr>
              <w:t xml:space="preserve">   </w:t>
            </w:r>
            <w:r w:rsidR="00401996">
              <w:rPr>
                <w:bCs/>
              </w:rPr>
              <w:t xml:space="preserve"> pře</w:t>
            </w:r>
            <w:r>
              <w:rPr>
                <w:bCs/>
              </w:rPr>
              <w:t>evidován</w:t>
            </w:r>
            <w:r w:rsidR="00781886">
              <w:rPr>
                <w:bCs/>
              </w:rPr>
              <w:t xml:space="preserve"> </w:t>
            </w:r>
            <w:r>
              <w:rPr>
                <w:bCs/>
              </w:rPr>
              <w:t xml:space="preserve"> dlouhodobý</w:t>
            </w:r>
            <w:r w:rsidR="00781886">
              <w:rPr>
                <w:bCs/>
              </w:rPr>
              <w:t xml:space="preserve"> </w:t>
            </w:r>
            <w:r>
              <w:rPr>
                <w:bCs/>
              </w:rPr>
              <w:t xml:space="preserve"> </w:t>
            </w:r>
            <w:r w:rsidR="003C64A8">
              <w:rPr>
                <w:bCs/>
              </w:rPr>
              <w:t xml:space="preserve"> </w:t>
            </w:r>
            <w:r>
              <w:rPr>
                <w:bCs/>
              </w:rPr>
              <w:t>nehmotný</w:t>
            </w:r>
            <w:r w:rsidR="00781886">
              <w:rPr>
                <w:bCs/>
              </w:rPr>
              <w:t xml:space="preserve"> </w:t>
            </w:r>
            <w:r w:rsidR="003C64A8">
              <w:rPr>
                <w:bCs/>
              </w:rPr>
              <w:t xml:space="preserve"> </w:t>
            </w:r>
            <w:r>
              <w:rPr>
                <w:bCs/>
              </w:rPr>
              <w:t xml:space="preserve"> majetek.</w:t>
            </w:r>
            <w:r w:rsidR="00781886">
              <w:rPr>
                <w:bCs/>
              </w:rPr>
              <w:t xml:space="preserve"> </w:t>
            </w:r>
            <w:r w:rsidR="003C64A8">
              <w:rPr>
                <w:bCs/>
              </w:rPr>
              <w:t xml:space="preserve"> </w:t>
            </w:r>
            <w:r>
              <w:rPr>
                <w:bCs/>
              </w:rPr>
              <w:t xml:space="preserve"> </w:t>
            </w:r>
            <w:r w:rsidR="003C64A8">
              <w:rPr>
                <w:bCs/>
              </w:rPr>
              <w:t xml:space="preserve">Ke  snížení  stavu </w:t>
            </w:r>
          </w:p>
          <w:p w:rsidR="003C64A8" w:rsidRDefault="003C64A8" w:rsidP="00576B38">
            <w:pPr>
              <w:widowControl/>
              <w:autoSpaceDE/>
              <w:autoSpaceDN/>
              <w:adjustRightInd/>
              <w:ind w:right="-1199"/>
              <w:jc w:val="both"/>
              <w:outlineLvl w:val="9"/>
              <w:rPr>
                <w:bCs/>
              </w:rPr>
            </w:pPr>
            <w:r>
              <w:rPr>
                <w:bCs/>
              </w:rPr>
              <w:t>dlouhodobého</w:t>
            </w:r>
            <w:r w:rsidR="00781886">
              <w:rPr>
                <w:bCs/>
              </w:rPr>
              <w:t xml:space="preserve"> </w:t>
            </w:r>
            <w:r w:rsidR="006F5AFF">
              <w:rPr>
                <w:bCs/>
              </w:rPr>
              <w:t xml:space="preserve">  </w:t>
            </w:r>
            <w:r>
              <w:rPr>
                <w:bCs/>
              </w:rPr>
              <w:t xml:space="preserve"> hmotného</w:t>
            </w:r>
            <w:r w:rsidR="00781886">
              <w:rPr>
                <w:bCs/>
              </w:rPr>
              <w:t xml:space="preserve"> </w:t>
            </w:r>
            <w:r>
              <w:rPr>
                <w:bCs/>
              </w:rPr>
              <w:t xml:space="preserve"> majetku</w:t>
            </w:r>
            <w:r w:rsidR="00781886">
              <w:rPr>
                <w:bCs/>
              </w:rPr>
              <w:t xml:space="preserve"> </w:t>
            </w:r>
            <w:r>
              <w:rPr>
                <w:bCs/>
              </w:rPr>
              <w:t xml:space="preserve"> došlo</w:t>
            </w:r>
            <w:r w:rsidR="006F5AFF">
              <w:rPr>
                <w:bCs/>
              </w:rPr>
              <w:t xml:space="preserve">  </w:t>
            </w:r>
            <w:r>
              <w:rPr>
                <w:bCs/>
              </w:rPr>
              <w:t xml:space="preserve"> především</w:t>
            </w:r>
            <w:r w:rsidR="00781886">
              <w:rPr>
                <w:bCs/>
              </w:rPr>
              <w:t xml:space="preserve">  </w:t>
            </w:r>
            <w:r>
              <w:rPr>
                <w:bCs/>
              </w:rPr>
              <w:t>n</w:t>
            </w:r>
            <w:r w:rsidR="00406A8A">
              <w:rPr>
                <w:bCs/>
              </w:rPr>
              <w:t>a</w:t>
            </w:r>
            <w:r w:rsidR="00781886">
              <w:rPr>
                <w:bCs/>
              </w:rPr>
              <w:t xml:space="preserve"> </w:t>
            </w:r>
            <w:r w:rsidR="00406A8A">
              <w:rPr>
                <w:bCs/>
              </w:rPr>
              <w:t xml:space="preserve"> základě</w:t>
            </w:r>
            <w:r w:rsidR="00781886">
              <w:rPr>
                <w:bCs/>
              </w:rPr>
              <w:t xml:space="preserve"> </w:t>
            </w:r>
            <w:r w:rsidR="00406A8A">
              <w:rPr>
                <w:bCs/>
              </w:rPr>
              <w:t xml:space="preserve"> změn ve zřizovacích listinách</w:t>
            </w:r>
            <w:r>
              <w:rPr>
                <w:bCs/>
              </w:rPr>
              <w:t xml:space="preserve">. </w:t>
            </w:r>
          </w:p>
          <w:p w:rsidR="003C64A8" w:rsidRDefault="003C64A8" w:rsidP="00576B38">
            <w:pPr>
              <w:widowControl/>
              <w:autoSpaceDE/>
              <w:autoSpaceDN/>
              <w:adjustRightInd/>
              <w:ind w:right="-1199"/>
              <w:jc w:val="both"/>
              <w:outlineLvl w:val="9"/>
              <w:rPr>
                <w:bCs/>
              </w:rPr>
            </w:pPr>
            <w:r>
              <w:rPr>
                <w:bCs/>
              </w:rPr>
              <w:t xml:space="preserve">Majetek </w:t>
            </w:r>
            <w:r w:rsidR="00781886">
              <w:rPr>
                <w:bCs/>
              </w:rPr>
              <w:t xml:space="preserve"> </w:t>
            </w:r>
            <w:r>
              <w:rPr>
                <w:bCs/>
              </w:rPr>
              <w:t>byl</w:t>
            </w:r>
            <w:r w:rsidR="00781886">
              <w:rPr>
                <w:bCs/>
              </w:rPr>
              <w:t xml:space="preserve"> </w:t>
            </w:r>
            <w:r w:rsidR="00D25B97">
              <w:rPr>
                <w:bCs/>
              </w:rPr>
              <w:t xml:space="preserve"> </w:t>
            </w:r>
            <w:r w:rsidR="00406A8A">
              <w:rPr>
                <w:bCs/>
              </w:rPr>
              <w:t>v</w:t>
            </w:r>
            <w:r w:rsidR="00781886">
              <w:rPr>
                <w:bCs/>
              </w:rPr>
              <w:t> </w:t>
            </w:r>
            <w:r w:rsidR="006F5AFF">
              <w:rPr>
                <w:bCs/>
              </w:rPr>
              <w:t xml:space="preserve"> </w:t>
            </w:r>
            <w:r w:rsidR="00406A8A">
              <w:rPr>
                <w:bCs/>
              </w:rPr>
              <w:t>roce</w:t>
            </w:r>
            <w:r w:rsidR="00781886">
              <w:rPr>
                <w:bCs/>
              </w:rPr>
              <w:t xml:space="preserve"> </w:t>
            </w:r>
            <w:r w:rsidR="00406A8A">
              <w:rPr>
                <w:bCs/>
              </w:rPr>
              <w:t xml:space="preserve"> 2014</w:t>
            </w:r>
            <w:r w:rsidR="00781886">
              <w:rPr>
                <w:bCs/>
              </w:rPr>
              <w:t xml:space="preserve"> </w:t>
            </w:r>
            <w:r w:rsidR="00406A8A">
              <w:rPr>
                <w:bCs/>
              </w:rPr>
              <w:t xml:space="preserve"> předán</w:t>
            </w:r>
            <w:r w:rsidR="00781886">
              <w:rPr>
                <w:bCs/>
              </w:rPr>
              <w:t xml:space="preserve"> </w:t>
            </w:r>
            <w:r w:rsidR="00406A8A">
              <w:rPr>
                <w:bCs/>
              </w:rPr>
              <w:t xml:space="preserve"> </w:t>
            </w:r>
            <w:r>
              <w:rPr>
                <w:bCs/>
              </w:rPr>
              <w:t>k</w:t>
            </w:r>
            <w:r w:rsidR="00781886">
              <w:rPr>
                <w:bCs/>
              </w:rPr>
              <w:t> </w:t>
            </w:r>
            <w:r w:rsidR="006F5AFF">
              <w:rPr>
                <w:bCs/>
              </w:rPr>
              <w:t xml:space="preserve"> </w:t>
            </w:r>
            <w:r>
              <w:rPr>
                <w:bCs/>
              </w:rPr>
              <w:t>hospodaření</w:t>
            </w:r>
            <w:r w:rsidR="00781886">
              <w:rPr>
                <w:bCs/>
              </w:rPr>
              <w:t xml:space="preserve"> </w:t>
            </w:r>
            <w:r>
              <w:rPr>
                <w:bCs/>
              </w:rPr>
              <w:t xml:space="preserve"> na</w:t>
            </w:r>
            <w:r w:rsidR="00781886">
              <w:rPr>
                <w:bCs/>
              </w:rPr>
              <w:t xml:space="preserve">  </w:t>
            </w:r>
            <w:r>
              <w:rPr>
                <w:bCs/>
              </w:rPr>
              <w:t xml:space="preserve"> příspěvkové</w:t>
            </w:r>
            <w:r w:rsidR="00781886">
              <w:rPr>
                <w:bCs/>
              </w:rPr>
              <w:t xml:space="preserve"> </w:t>
            </w:r>
            <w:r>
              <w:rPr>
                <w:bCs/>
              </w:rPr>
              <w:t xml:space="preserve"> organizace</w:t>
            </w:r>
            <w:r w:rsidR="006F5AFF">
              <w:rPr>
                <w:bCs/>
              </w:rPr>
              <w:t xml:space="preserve"> </w:t>
            </w:r>
            <w:r>
              <w:rPr>
                <w:bCs/>
              </w:rPr>
              <w:t xml:space="preserve"> kraje,</w:t>
            </w:r>
            <w:r w:rsidR="00781886">
              <w:rPr>
                <w:bCs/>
              </w:rPr>
              <w:t xml:space="preserve"> </w:t>
            </w:r>
            <w:r>
              <w:rPr>
                <w:bCs/>
              </w:rPr>
              <w:t xml:space="preserve"> především </w:t>
            </w:r>
          </w:p>
          <w:p w:rsidR="003C64A8" w:rsidRDefault="003C64A8" w:rsidP="00576B38">
            <w:pPr>
              <w:widowControl/>
              <w:autoSpaceDE/>
              <w:autoSpaceDN/>
              <w:adjustRightInd/>
              <w:ind w:right="-1199"/>
              <w:jc w:val="both"/>
              <w:outlineLvl w:val="9"/>
              <w:rPr>
                <w:bCs/>
              </w:rPr>
            </w:pPr>
            <w:r>
              <w:rPr>
                <w:bCs/>
              </w:rPr>
              <w:t xml:space="preserve">na </w:t>
            </w:r>
            <w:r w:rsidR="00781886">
              <w:rPr>
                <w:bCs/>
              </w:rPr>
              <w:t xml:space="preserve"> </w:t>
            </w:r>
            <w:r>
              <w:rPr>
                <w:bCs/>
              </w:rPr>
              <w:t xml:space="preserve">Krajskou </w:t>
            </w:r>
            <w:r w:rsidR="00781886">
              <w:rPr>
                <w:bCs/>
              </w:rPr>
              <w:t xml:space="preserve"> </w:t>
            </w:r>
            <w:r>
              <w:rPr>
                <w:bCs/>
              </w:rPr>
              <w:t xml:space="preserve">správu </w:t>
            </w:r>
            <w:r w:rsidR="00781886">
              <w:rPr>
                <w:bCs/>
              </w:rPr>
              <w:t xml:space="preserve"> </w:t>
            </w:r>
            <w:r>
              <w:rPr>
                <w:bCs/>
              </w:rPr>
              <w:t>a údržbu silnic (KSÚS).</w:t>
            </w:r>
            <w:r w:rsidR="00781886">
              <w:rPr>
                <w:bCs/>
              </w:rPr>
              <w:t xml:space="preserve">  </w:t>
            </w:r>
            <w:r w:rsidR="00406A8A">
              <w:rPr>
                <w:bCs/>
              </w:rPr>
              <w:t xml:space="preserve"> </w:t>
            </w:r>
            <w:r>
              <w:rPr>
                <w:bCs/>
              </w:rPr>
              <w:t>Finanční</w:t>
            </w:r>
            <w:r w:rsidR="00D25B97">
              <w:rPr>
                <w:bCs/>
              </w:rPr>
              <w:t xml:space="preserve"> </w:t>
            </w:r>
            <w:r>
              <w:rPr>
                <w:bCs/>
              </w:rPr>
              <w:t xml:space="preserve"> majetek </w:t>
            </w:r>
            <w:r w:rsidR="00D25B97">
              <w:rPr>
                <w:bCs/>
              </w:rPr>
              <w:t xml:space="preserve"> </w:t>
            </w:r>
            <w:r>
              <w:rPr>
                <w:bCs/>
              </w:rPr>
              <w:t>kraje</w:t>
            </w:r>
            <w:r w:rsidR="00D25B97">
              <w:rPr>
                <w:bCs/>
              </w:rPr>
              <w:t xml:space="preserve"> </w:t>
            </w:r>
            <w:r>
              <w:rPr>
                <w:bCs/>
              </w:rPr>
              <w:t xml:space="preserve"> byl </w:t>
            </w:r>
            <w:r w:rsidR="00781886">
              <w:rPr>
                <w:bCs/>
              </w:rPr>
              <w:t xml:space="preserve"> </w:t>
            </w:r>
            <w:r>
              <w:rPr>
                <w:bCs/>
              </w:rPr>
              <w:t>navýšen</w:t>
            </w:r>
            <w:r w:rsidR="00781886">
              <w:rPr>
                <w:bCs/>
              </w:rPr>
              <w:t xml:space="preserve"> </w:t>
            </w:r>
            <w:r>
              <w:rPr>
                <w:bCs/>
              </w:rPr>
              <w:t xml:space="preserve"> nepeněžním </w:t>
            </w:r>
          </w:p>
          <w:p w:rsidR="003C64A8" w:rsidRDefault="003C64A8" w:rsidP="00576B38">
            <w:pPr>
              <w:widowControl/>
              <w:autoSpaceDE/>
              <w:autoSpaceDN/>
              <w:adjustRightInd/>
              <w:ind w:right="-1199"/>
              <w:jc w:val="both"/>
              <w:outlineLvl w:val="9"/>
              <w:rPr>
                <w:bCs/>
              </w:rPr>
            </w:pPr>
            <w:r>
              <w:rPr>
                <w:bCs/>
              </w:rPr>
              <w:t>vkladem</w:t>
            </w:r>
            <w:r w:rsidR="00781886">
              <w:rPr>
                <w:bCs/>
              </w:rPr>
              <w:t xml:space="preserve"> </w:t>
            </w:r>
            <w:r>
              <w:rPr>
                <w:bCs/>
              </w:rPr>
              <w:t xml:space="preserve"> do</w:t>
            </w:r>
            <w:r w:rsidR="00781886">
              <w:rPr>
                <w:bCs/>
              </w:rPr>
              <w:t xml:space="preserve"> </w:t>
            </w:r>
            <w:r>
              <w:rPr>
                <w:bCs/>
              </w:rPr>
              <w:t xml:space="preserve"> základního</w:t>
            </w:r>
            <w:r w:rsidR="00781886">
              <w:rPr>
                <w:bCs/>
              </w:rPr>
              <w:t xml:space="preserve"> </w:t>
            </w:r>
            <w:r>
              <w:rPr>
                <w:bCs/>
              </w:rPr>
              <w:t xml:space="preserve"> jmění</w:t>
            </w:r>
            <w:r w:rsidR="00781886">
              <w:rPr>
                <w:bCs/>
              </w:rPr>
              <w:t xml:space="preserve"> </w:t>
            </w:r>
            <w:r>
              <w:rPr>
                <w:bCs/>
              </w:rPr>
              <w:t xml:space="preserve"> </w:t>
            </w:r>
            <w:r w:rsidR="00D25B97">
              <w:rPr>
                <w:bCs/>
              </w:rPr>
              <w:t xml:space="preserve"> </w:t>
            </w:r>
            <w:r>
              <w:rPr>
                <w:bCs/>
              </w:rPr>
              <w:t>Oblastní</w:t>
            </w:r>
            <w:r w:rsidR="00781886">
              <w:rPr>
                <w:bCs/>
              </w:rPr>
              <w:t xml:space="preserve"> </w:t>
            </w:r>
            <w:r>
              <w:rPr>
                <w:bCs/>
              </w:rPr>
              <w:t xml:space="preserve"> nemocnice</w:t>
            </w:r>
            <w:r w:rsidR="00781886">
              <w:rPr>
                <w:bCs/>
              </w:rPr>
              <w:t xml:space="preserve"> </w:t>
            </w:r>
            <w:r>
              <w:rPr>
                <w:bCs/>
              </w:rPr>
              <w:t xml:space="preserve"> Kladno, a.s.</w:t>
            </w:r>
            <w:r w:rsidR="00D25B97">
              <w:rPr>
                <w:bCs/>
              </w:rPr>
              <w:t xml:space="preserve"> </w:t>
            </w:r>
            <w:r>
              <w:rPr>
                <w:bCs/>
              </w:rPr>
              <w:t xml:space="preserve">  a</w:t>
            </w:r>
            <w:r w:rsidR="00D25B97">
              <w:rPr>
                <w:bCs/>
              </w:rPr>
              <w:t xml:space="preserve"> </w:t>
            </w:r>
            <w:r w:rsidR="00781886">
              <w:rPr>
                <w:bCs/>
              </w:rPr>
              <w:t xml:space="preserve"> </w:t>
            </w:r>
            <w:r>
              <w:rPr>
                <w:bCs/>
              </w:rPr>
              <w:t xml:space="preserve"> vkladem </w:t>
            </w:r>
            <w:r w:rsidR="00781886">
              <w:rPr>
                <w:bCs/>
              </w:rPr>
              <w:t xml:space="preserve"> </w:t>
            </w:r>
            <w:r>
              <w:rPr>
                <w:bCs/>
              </w:rPr>
              <w:t>dle</w:t>
            </w:r>
            <w:r w:rsidR="00781886">
              <w:rPr>
                <w:bCs/>
              </w:rPr>
              <w:t xml:space="preserve"> </w:t>
            </w:r>
            <w:r>
              <w:rPr>
                <w:bCs/>
              </w:rPr>
              <w:t xml:space="preserve"> smlouvy </w:t>
            </w:r>
            <w:r w:rsidR="00781886">
              <w:rPr>
                <w:bCs/>
              </w:rPr>
              <w:t xml:space="preserve"> </w:t>
            </w:r>
            <w:r>
              <w:rPr>
                <w:bCs/>
              </w:rPr>
              <w:t xml:space="preserve">do </w:t>
            </w:r>
          </w:p>
          <w:p w:rsidR="00406A8A" w:rsidRPr="00406A8A" w:rsidRDefault="003C64A8" w:rsidP="00576B38">
            <w:pPr>
              <w:widowControl/>
              <w:autoSpaceDE/>
              <w:autoSpaceDN/>
              <w:adjustRightInd/>
              <w:ind w:right="-1199"/>
              <w:jc w:val="both"/>
              <w:outlineLvl w:val="9"/>
              <w:rPr>
                <w:bCs/>
              </w:rPr>
            </w:pPr>
            <w:r>
              <w:rPr>
                <w:bCs/>
              </w:rPr>
              <w:t>společnosti zřízené Středočeským krajem v Bruselu.</w:t>
            </w:r>
          </w:p>
          <w:p w:rsidR="00576B38" w:rsidRPr="009B5391" w:rsidRDefault="00576B38" w:rsidP="00576B38">
            <w:pPr>
              <w:widowControl/>
              <w:autoSpaceDE/>
              <w:autoSpaceDN/>
              <w:adjustRightInd/>
              <w:ind w:right="-1199"/>
              <w:jc w:val="both"/>
              <w:outlineLvl w:val="9"/>
              <w:rPr>
                <w:b/>
                <w:bCs/>
              </w:rPr>
            </w:pPr>
          </w:p>
          <w:p w:rsidR="00576B38" w:rsidRPr="009B5391" w:rsidRDefault="00576B38" w:rsidP="00576B38">
            <w:pPr>
              <w:widowControl/>
              <w:autoSpaceDE/>
              <w:autoSpaceDN/>
              <w:adjustRightInd/>
              <w:ind w:right="-1199"/>
              <w:jc w:val="both"/>
              <w:outlineLvl w:val="9"/>
              <w:rPr>
                <w:b/>
                <w:bCs/>
              </w:rPr>
            </w:pPr>
          </w:p>
          <w:p w:rsidR="00576B38" w:rsidRPr="009B5391" w:rsidRDefault="00576B38" w:rsidP="00576B38">
            <w:pPr>
              <w:widowControl/>
              <w:autoSpaceDE/>
              <w:autoSpaceDN/>
              <w:adjustRightInd/>
              <w:ind w:right="-1199"/>
              <w:jc w:val="both"/>
              <w:outlineLvl w:val="9"/>
              <w:rPr>
                <w:b/>
                <w:bCs/>
              </w:rPr>
            </w:pPr>
          </w:p>
          <w:p w:rsidR="00B04F37" w:rsidRDefault="00B04F37" w:rsidP="00576B38">
            <w:pPr>
              <w:widowControl/>
              <w:autoSpaceDE/>
              <w:autoSpaceDN/>
              <w:adjustRightInd/>
              <w:ind w:right="-1199"/>
              <w:jc w:val="both"/>
              <w:outlineLvl w:val="9"/>
              <w:rPr>
                <w:b/>
                <w:bCs/>
              </w:rPr>
            </w:pPr>
          </w:p>
          <w:p w:rsidR="00B04F37" w:rsidRDefault="00B04F37" w:rsidP="00576B38">
            <w:pPr>
              <w:widowControl/>
              <w:autoSpaceDE/>
              <w:autoSpaceDN/>
              <w:adjustRightInd/>
              <w:ind w:right="-1199"/>
              <w:jc w:val="both"/>
              <w:outlineLvl w:val="9"/>
              <w:rPr>
                <w:b/>
                <w:bCs/>
              </w:rPr>
            </w:pPr>
          </w:p>
          <w:p w:rsidR="00576B38" w:rsidRPr="009B5391" w:rsidRDefault="00024E45" w:rsidP="00576B38">
            <w:pPr>
              <w:widowControl/>
              <w:autoSpaceDE/>
              <w:autoSpaceDN/>
              <w:adjustRightInd/>
              <w:ind w:right="-1199"/>
              <w:jc w:val="both"/>
              <w:outlineLvl w:val="9"/>
              <w:rPr>
                <w:b/>
                <w:bCs/>
              </w:rPr>
            </w:pPr>
            <w:r>
              <w:rPr>
                <w:b/>
                <w:bCs/>
              </w:rPr>
              <w:lastRenderedPageBreak/>
              <w:t xml:space="preserve">Stav majetku </w:t>
            </w:r>
            <w:r w:rsidR="00576B38" w:rsidRPr="009B5391">
              <w:rPr>
                <w:b/>
                <w:bCs/>
              </w:rPr>
              <w:t>Středočesk</w:t>
            </w:r>
            <w:r>
              <w:rPr>
                <w:b/>
                <w:bCs/>
              </w:rPr>
              <w:t xml:space="preserve">ého </w:t>
            </w:r>
            <w:r w:rsidR="00576B38" w:rsidRPr="009B5391">
              <w:rPr>
                <w:b/>
                <w:bCs/>
              </w:rPr>
              <w:t xml:space="preserve"> kraj</w:t>
            </w:r>
            <w:r>
              <w:rPr>
                <w:b/>
                <w:bCs/>
              </w:rPr>
              <w:t>e a příspěvkových organizací kraje</w:t>
            </w:r>
            <w:r w:rsidR="00576B38" w:rsidRPr="009B5391">
              <w:rPr>
                <w:b/>
                <w:bCs/>
              </w:rPr>
              <w:t xml:space="preserve"> k 31.12.2014</w:t>
            </w:r>
            <w:r>
              <w:rPr>
                <w:b/>
                <w:bCs/>
              </w:rPr>
              <w:t>.</w:t>
            </w:r>
            <w:r w:rsidR="00576B38" w:rsidRPr="009B5391">
              <w:rPr>
                <w:b/>
                <w:bCs/>
              </w:rPr>
              <w:t xml:space="preserve"> </w:t>
            </w:r>
          </w:p>
          <w:tbl>
            <w:tblPr>
              <w:tblW w:w="9443" w:type="dxa"/>
              <w:tblInd w:w="55" w:type="dxa"/>
              <w:tblLayout w:type="fixed"/>
              <w:tblCellMar>
                <w:left w:w="70" w:type="dxa"/>
                <w:right w:w="70" w:type="dxa"/>
              </w:tblCellMar>
              <w:tblLook w:val="0000" w:firstRow="0" w:lastRow="0" w:firstColumn="0" w:lastColumn="0" w:noHBand="0" w:noVBand="0"/>
            </w:tblPr>
            <w:tblGrid>
              <w:gridCol w:w="5840"/>
              <w:gridCol w:w="1760"/>
              <w:gridCol w:w="1843"/>
            </w:tblGrid>
            <w:tr w:rsidR="00576B38" w:rsidRPr="009B5391" w:rsidTr="006E29BB">
              <w:trPr>
                <w:trHeight w:val="300"/>
              </w:trPr>
              <w:tc>
                <w:tcPr>
                  <w:tcW w:w="584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b/>
                      <w:bCs/>
                      <w:color w:val="000000"/>
                    </w:rPr>
                  </w:pPr>
                </w:p>
              </w:tc>
              <w:tc>
                <w:tcPr>
                  <w:tcW w:w="176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843"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84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b/>
                      <w:bCs/>
                      <w:color w:val="000000"/>
                    </w:rPr>
                  </w:pPr>
                </w:p>
              </w:tc>
              <w:tc>
                <w:tcPr>
                  <w:tcW w:w="176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843"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84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b/>
                      <w:bCs/>
                      <w:color w:val="000000"/>
                    </w:rPr>
                  </w:pPr>
                </w:p>
              </w:tc>
              <w:tc>
                <w:tcPr>
                  <w:tcW w:w="176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843"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840" w:type="dxa"/>
                  <w:tcBorders>
                    <w:top w:val="single" w:sz="4" w:space="0" w:color="auto"/>
                    <w:left w:val="single" w:sz="4" w:space="0" w:color="auto"/>
                    <w:bottom w:val="single" w:sz="4" w:space="0" w:color="auto"/>
                    <w:right w:val="single" w:sz="4" w:space="0" w:color="auto"/>
                  </w:tcBorders>
                  <w:shd w:val="clear" w:color="auto" w:fill="auto"/>
                  <w:vAlign w:val="center"/>
                </w:tcPr>
                <w:p w:rsidR="00576B38" w:rsidRPr="009B5391" w:rsidRDefault="00576B38" w:rsidP="00730F1E">
                  <w:pPr>
                    <w:widowControl/>
                    <w:autoSpaceDE/>
                    <w:autoSpaceDN/>
                    <w:adjustRightInd/>
                    <w:outlineLvl w:val="9"/>
                    <w:rPr>
                      <w:b/>
                      <w:bCs/>
                      <w:color w:val="000000"/>
                    </w:rPr>
                  </w:pPr>
                  <w:r w:rsidRPr="009B5391">
                    <w:rPr>
                      <w:b/>
                      <w:bCs/>
                      <w:color w:val="000000"/>
                    </w:rPr>
                    <w:t>Majetek krajského úřadu v tis. Kč</w:t>
                  </w:r>
                </w:p>
              </w:tc>
              <w:tc>
                <w:tcPr>
                  <w:tcW w:w="1760" w:type="dxa"/>
                  <w:tcBorders>
                    <w:top w:val="nil"/>
                    <w:left w:val="nil"/>
                    <w:bottom w:val="single" w:sz="4" w:space="0" w:color="auto"/>
                    <w:right w:val="nil"/>
                  </w:tcBorders>
                  <w:shd w:val="clear" w:color="auto" w:fill="auto"/>
                </w:tcPr>
                <w:p w:rsidR="00576B38" w:rsidRPr="009B5391" w:rsidRDefault="00576B38" w:rsidP="00730F1E">
                  <w:pPr>
                    <w:widowControl/>
                    <w:autoSpaceDE/>
                    <w:autoSpaceDN/>
                    <w:adjustRightInd/>
                    <w:outlineLvl w:val="9"/>
                    <w:rPr>
                      <w:color w:val="000000"/>
                    </w:rPr>
                  </w:pPr>
                  <w:r w:rsidRPr="009B5391">
                    <w:rPr>
                      <w:color w:val="000000"/>
                    </w:rPr>
                    <w:t> </w:t>
                  </w:r>
                </w:p>
              </w:tc>
              <w:tc>
                <w:tcPr>
                  <w:tcW w:w="1843" w:type="dxa"/>
                  <w:tcBorders>
                    <w:top w:val="nil"/>
                    <w:left w:val="single" w:sz="4" w:space="0" w:color="auto"/>
                    <w:bottom w:val="single" w:sz="4" w:space="0" w:color="auto"/>
                    <w:right w:val="single" w:sz="4" w:space="0" w:color="auto"/>
                  </w:tcBorders>
                  <w:shd w:val="clear" w:color="auto" w:fill="auto"/>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14 480 387</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13 844 850</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205 919</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123 582</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5 490 978</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3 556 774</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4 386 273</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4 392 849</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1 416 685</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1 884 189</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5 036</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3 775</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1 801 727</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2 384 883</w:t>
                  </w:r>
                </w:p>
              </w:tc>
            </w:tr>
            <w:tr w:rsidR="00576B38" w:rsidRPr="009B5391" w:rsidTr="006E29BB">
              <w:trPr>
                <w:trHeight w:val="300"/>
              </w:trPr>
              <w:tc>
                <w:tcPr>
                  <w:tcW w:w="5840"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6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1 173 768</w:t>
                  </w:r>
                </w:p>
              </w:tc>
              <w:tc>
                <w:tcPr>
                  <w:tcW w:w="1843"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1 498 797</w:t>
                  </w:r>
                </w:p>
              </w:tc>
            </w:tr>
          </w:tbl>
          <w:p w:rsidR="00576B38" w:rsidRPr="009B5391" w:rsidRDefault="00576B38" w:rsidP="00576B38">
            <w:pPr>
              <w:widowControl/>
              <w:autoSpaceDE/>
              <w:autoSpaceDN/>
              <w:adjustRightInd/>
              <w:ind w:right="-1199"/>
              <w:jc w:val="both"/>
              <w:outlineLvl w:val="9"/>
              <w:rPr>
                <w:b/>
                <w:bCs/>
              </w:rPr>
            </w:pPr>
          </w:p>
          <w:tbl>
            <w:tblPr>
              <w:tblW w:w="9443" w:type="dxa"/>
              <w:tblInd w:w="55" w:type="dxa"/>
              <w:tblLayout w:type="fixed"/>
              <w:tblCellMar>
                <w:left w:w="70" w:type="dxa"/>
                <w:right w:w="70" w:type="dxa"/>
              </w:tblCellMar>
              <w:tblLook w:val="0000" w:firstRow="0" w:lastRow="0" w:firstColumn="0" w:lastColumn="0" w:noHBand="0" w:noVBand="0"/>
            </w:tblPr>
            <w:tblGrid>
              <w:gridCol w:w="5998"/>
              <w:gridCol w:w="1720"/>
              <w:gridCol w:w="1725"/>
            </w:tblGrid>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725"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998" w:type="dxa"/>
                  <w:tcBorders>
                    <w:top w:val="single" w:sz="4" w:space="0" w:color="auto"/>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b/>
                      <w:bCs/>
                      <w:color w:val="000000"/>
                    </w:rPr>
                  </w:pPr>
                  <w:r w:rsidRPr="009B5391">
                    <w:rPr>
                      <w:b/>
                      <w:bCs/>
                      <w:color w:val="000000"/>
                    </w:rPr>
                    <w:t>Majetek příspěvkových organizací v odvětví dopravy v tis. Kč</w:t>
                  </w:r>
                </w:p>
              </w:tc>
              <w:tc>
                <w:tcPr>
                  <w:tcW w:w="1720" w:type="dxa"/>
                  <w:tcBorders>
                    <w:top w:val="nil"/>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c>
                <w:tcPr>
                  <w:tcW w:w="1725" w:type="dxa"/>
                  <w:tcBorders>
                    <w:top w:val="nil"/>
                    <w:left w:val="nil"/>
                    <w:bottom w:val="single" w:sz="4" w:space="0" w:color="auto"/>
                    <w:right w:val="single" w:sz="4" w:space="0" w:color="auto"/>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14 087 606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16 206 598</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535</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2 201</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13 288 598</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15 847 999</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906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906</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31 526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29 222</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598 522</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53 297</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167 520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272 973</w:t>
                  </w: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725"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998" w:type="dxa"/>
                  <w:tcBorders>
                    <w:top w:val="single" w:sz="4" w:space="0" w:color="auto"/>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b/>
                      <w:bCs/>
                      <w:color w:val="000000"/>
                    </w:rPr>
                  </w:pPr>
                  <w:r w:rsidRPr="009B5391">
                    <w:rPr>
                      <w:b/>
                      <w:bCs/>
                      <w:color w:val="000000"/>
                    </w:rPr>
                    <w:t>Majetek příspěvkových organizací v odvětví zdravotnictví v tis. Kč</w:t>
                  </w:r>
                </w:p>
              </w:tc>
              <w:tc>
                <w:tcPr>
                  <w:tcW w:w="1720" w:type="dxa"/>
                  <w:tcBorders>
                    <w:top w:val="nil"/>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c>
                <w:tcPr>
                  <w:tcW w:w="1725" w:type="dxa"/>
                  <w:tcBorders>
                    <w:top w:val="nil"/>
                    <w:left w:val="nil"/>
                    <w:bottom w:val="single" w:sz="4" w:space="0" w:color="auto"/>
                    <w:right w:val="single" w:sz="4" w:space="0" w:color="auto"/>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597 635</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597 977</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404 253</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404 288</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2 957</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2 632</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5 308</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5 890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54 553</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50 529</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130 564</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134 637</w:t>
                  </w: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725"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998" w:type="dxa"/>
                  <w:tcBorders>
                    <w:top w:val="single" w:sz="4" w:space="0" w:color="auto"/>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b/>
                      <w:bCs/>
                      <w:color w:val="000000"/>
                    </w:rPr>
                  </w:pPr>
                  <w:r w:rsidRPr="009B5391">
                    <w:rPr>
                      <w:b/>
                      <w:bCs/>
                      <w:color w:val="000000"/>
                    </w:rPr>
                    <w:t>Majetek příspěvkových organizací v odvětví kultury v tis. Kč</w:t>
                  </w:r>
                </w:p>
              </w:tc>
              <w:tc>
                <w:tcPr>
                  <w:tcW w:w="1720" w:type="dxa"/>
                  <w:tcBorders>
                    <w:top w:val="nil"/>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c>
                <w:tcPr>
                  <w:tcW w:w="1725" w:type="dxa"/>
                  <w:tcBorders>
                    <w:top w:val="nil"/>
                    <w:left w:val="nil"/>
                    <w:bottom w:val="single" w:sz="4" w:space="0" w:color="auto"/>
                    <w:right w:val="single" w:sz="4" w:space="0" w:color="auto"/>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1 089 692</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1 190 476</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1 072</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992</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1 028 019</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1 118 850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6 321</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21</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9 282</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10 342</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9 867</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12 627</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35 129</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47 644</w:t>
                  </w: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725"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998" w:type="dxa"/>
                  <w:tcBorders>
                    <w:top w:val="single" w:sz="4" w:space="0" w:color="auto"/>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b/>
                      <w:bCs/>
                      <w:color w:val="000000"/>
                    </w:rPr>
                  </w:pPr>
                  <w:r w:rsidRPr="009B5391">
                    <w:rPr>
                      <w:b/>
                      <w:bCs/>
                      <w:color w:val="000000"/>
                    </w:rPr>
                    <w:t>Majetek příspěvkových organizací v odvětví sociální péče v tis. Kč</w:t>
                  </w:r>
                </w:p>
              </w:tc>
              <w:tc>
                <w:tcPr>
                  <w:tcW w:w="1720" w:type="dxa"/>
                  <w:tcBorders>
                    <w:top w:val="nil"/>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c>
                <w:tcPr>
                  <w:tcW w:w="1725" w:type="dxa"/>
                  <w:tcBorders>
                    <w:top w:val="nil"/>
                    <w:left w:val="nil"/>
                    <w:bottom w:val="single" w:sz="4" w:space="0" w:color="auto"/>
                    <w:right w:val="single" w:sz="4" w:space="0" w:color="auto"/>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2 901 607</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3 082 913</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41</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364</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2 460 517</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2 542 108</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1 447</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1 743</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18 920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21 190</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86 466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93 944</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334 196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423 544</w:t>
                  </w: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D12BB6">
                  <w:pPr>
                    <w:widowControl/>
                    <w:autoSpaceDE/>
                    <w:autoSpaceDN/>
                    <w:adjustRightInd/>
                    <w:jc w:val="both"/>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6E29BB">
              <w:trPr>
                <w:trHeight w:val="30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98280E">
              <w:trPr>
                <w:trHeight w:val="8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5"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r>
            <w:tr w:rsidR="00576B38" w:rsidRPr="009B5391" w:rsidTr="00D12BB6">
              <w:trPr>
                <w:trHeight w:val="70"/>
              </w:trPr>
              <w:tc>
                <w:tcPr>
                  <w:tcW w:w="5998" w:type="dxa"/>
                  <w:tcBorders>
                    <w:top w:val="nil"/>
                    <w:left w:val="nil"/>
                    <w:bottom w:val="nil"/>
                    <w:right w:val="nil"/>
                  </w:tcBorders>
                  <w:noWrap/>
                  <w:vAlign w:val="bottom"/>
                </w:tcPr>
                <w:p w:rsidR="00576B38" w:rsidRPr="009B5391" w:rsidRDefault="00576B38" w:rsidP="00730F1E">
                  <w:pPr>
                    <w:widowControl/>
                    <w:autoSpaceDE/>
                    <w:autoSpaceDN/>
                    <w:adjustRightInd/>
                    <w:outlineLvl w:val="9"/>
                    <w:rPr>
                      <w:color w:val="000000"/>
                    </w:rPr>
                  </w:pPr>
                </w:p>
              </w:tc>
              <w:tc>
                <w:tcPr>
                  <w:tcW w:w="1720" w:type="dxa"/>
                  <w:tcBorders>
                    <w:top w:val="single" w:sz="4" w:space="0" w:color="auto"/>
                    <w:left w:val="single" w:sz="4" w:space="0" w:color="auto"/>
                    <w:bottom w:val="single" w:sz="4" w:space="0" w:color="auto"/>
                    <w:right w:val="nil"/>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31.12.2013</w:t>
                  </w:r>
                </w:p>
              </w:tc>
              <w:tc>
                <w:tcPr>
                  <w:tcW w:w="1725" w:type="dxa"/>
                  <w:tcBorders>
                    <w:top w:val="single" w:sz="4" w:space="0" w:color="auto"/>
                    <w:left w:val="single" w:sz="4" w:space="0" w:color="auto"/>
                    <w:bottom w:val="single" w:sz="4" w:space="0" w:color="auto"/>
                    <w:right w:val="single" w:sz="4" w:space="0" w:color="auto"/>
                  </w:tcBorders>
                  <w:noWrap/>
                  <w:vAlign w:val="bottom"/>
                </w:tcPr>
                <w:p w:rsidR="00576B38" w:rsidRPr="009B5391" w:rsidRDefault="00576B38" w:rsidP="00730F1E">
                  <w:pPr>
                    <w:widowControl/>
                    <w:autoSpaceDE/>
                    <w:autoSpaceDN/>
                    <w:adjustRightInd/>
                    <w:jc w:val="center"/>
                    <w:outlineLvl w:val="9"/>
                    <w:rPr>
                      <w:color w:val="000000"/>
                    </w:rPr>
                  </w:pPr>
                  <w:r w:rsidRPr="009B5391">
                    <w:rPr>
                      <w:color w:val="000000"/>
                    </w:rPr>
                    <w:t>stav k 31.12.2014</w:t>
                  </w:r>
                </w:p>
              </w:tc>
            </w:tr>
            <w:tr w:rsidR="00576B38" w:rsidRPr="009B5391" w:rsidTr="0098280E">
              <w:trPr>
                <w:trHeight w:val="300"/>
              </w:trPr>
              <w:tc>
                <w:tcPr>
                  <w:tcW w:w="5998" w:type="dxa"/>
                  <w:tcBorders>
                    <w:top w:val="single" w:sz="4" w:space="0" w:color="auto"/>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b/>
                      <w:bCs/>
                      <w:color w:val="000000"/>
                    </w:rPr>
                  </w:pPr>
                  <w:r w:rsidRPr="009B5391">
                    <w:rPr>
                      <w:b/>
                      <w:bCs/>
                      <w:color w:val="000000"/>
                    </w:rPr>
                    <w:t>Majetek příspěvkových organizací v odvětví školství v tis. Kč</w:t>
                  </w:r>
                </w:p>
              </w:tc>
              <w:tc>
                <w:tcPr>
                  <w:tcW w:w="1720" w:type="dxa"/>
                  <w:tcBorders>
                    <w:top w:val="nil"/>
                    <w:left w:val="single" w:sz="4" w:space="0" w:color="auto"/>
                    <w:bottom w:val="single" w:sz="4" w:space="0" w:color="auto"/>
                    <w:right w:val="nil"/>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c>
                <w:tcPr>
                  <w:tcW w:w="1725" w:type="dxa"/>
                  <w:tcBorders>
                    <w:top w:val="nil"/>
                    <w:left w:val="nil"/>
                    <w:bottom w:val="single" w:sz="4" w:space="0" w:color="auto"/>
                    <w:right w:val="single" w:sz="4" w:space="0" w:color="auto"/>
                  </w:tcBorders>
                  <w:shd w:val="clear" w:color="auto" w:fill="auto"/>
                  <w:noWrap/>
                  <w:vAlign w:val="bottom"/>
                </w:tcPr>
                <w:p w:rsidR="00576B38" w:rsidRPr="009B5391" w:rsidRDefault="00576B38" w:rsidP="00730F1E">
                  <w:pPr>
                    <w:widowControl/>
                    <w:autoSpaceDE/>
                    <w:autoSpaceDN/>
                    <w:adjustRightInd/>
                    <w:outlineLvl w:val="9"/>
                    <w:rPr>
                      <w:color w:val="000000"/>
                    </w:rPr>
                  </w:pPr>
                  <w:r w:rsidRPr="009B5391">
                    <w:rPr>
                      <w:color w:val="000000"/>
                    </w:rPr>
                    <w:t> </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b/>
                      <w:bCs/>
                      <w:color w:val="000000"/>
                    </w:rPr>
                  </w:pPr>
                  <w:r w:rsidRPr="009B5391">
                    <w:rPr>
                      <w:b/>
                      <w:bCs/>
                      <w:color w:val="000000"/>
                    </w:rPr>
                    <w:t>Aktiva celkem</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5 460 998</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b/>
                      <w:bCs/>
                      <w:color w:val="000000"/>
                    </w:rPr>
                  </w:pPr>
                  <w:r w:rsidRPr="009B5391">
                    <w:rPr>
                      <w:b/>
                      <w:bCs/>
                      <w:color w:val="000000"/>
                    </w:rPr>
                    <w:t>5 571 807</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nehmotný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1 503</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1 585</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hmotný majetek</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4 446 986</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4 565 593</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Dlouhodobý finanční majetek (akcie, podílové listy)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1 081</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1 081</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Dlouhodobé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295</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309</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Zásoby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51 542</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48 751</w:t>
                  </w:r>
                </w:p>
              </w:tc>
            </w:tr>
            <w:tr w:rsidR="00576B38" w:rsidRPr="009B5391" w:rsidTr="006E29BB">
              <w:trPr>
                <w:trHeight w:val="300"/>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Krátkodobé pohledávky</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380 471</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336 417</w:t>
                  </w:r>
                </w:p>
              </w:tc>
            </w:tr>
            <w:tr w:rsidR="00576B38" w:rsidRPr="009B5391" w:rsidTr="0098280E">
              <w:trPr>
                <w:trHeight w:val="346"/>
              </w:trPr>
              <w:tc>
                <w:tcPr>
                  <w:tcW w:w="5998" w:type="dxa"/>
                  <w:tcBorders>
                    <w:top w:val="nil"/>
                    <w:left w:val="single" w:sz="4" w:space="0" w:color="auto"/>
                    <w:bottom w:val="single" w:sz="4" w:space="0" w:color="auto"/>
                    <w:right w:val="single" w:sz="4" w:space="0" w:color="auto"/>
                  </w:tcBorders>
                </w:tcPr>
                <w:p w:rsidR="00576B38" w:rsidRPr="009B5391" w:rsidRDefault="00576B38" w:rsidP="00730F1E">
                  <w:pPr>
                    <w:widowControl/>
                    <w:autoSpaceDE/>
                    <w:autoSpaceDN/>
                    <w:adjustRightInd/>
                    <w:outlineLvl w:val="9"/>
                    <w:rPr>
                      <w:color w:val="000000"/>
                    </w:rPr>
                  </w:pPr>
                  <w:r w:rsidRPr="009B5391">
                    <w:rPr>
                      <w:color w:val="000000"/>
                    </w:rPr>
                    <w:t>Krátkodobý finanční majetek (ceniny, běžné účty, účty fondů)</w:t>
                  </w:r>
                </w:p>
              </w:tc>
              <w:tc>
                <w:tcPr>
                  <w:tcW w:w="1720" w:type="dxa"/>
                  <w:tcBorders>
                    <w:top w:val="nil"/>
                    <w:left w:val="nil"/>
                    <w:bottom w:val="single" w:sz="4" w:space="0" w:color="auto"/>
                    <w:right w:val="nil"/>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579 120</w:t>
                  </w:r>
                </w:p>
              </w:tc>
              <w:tc>
                <w:tcPr>
                  <w:tcW w:w="1725" w:type="dxa"/>
                  <w:tcBorders>
                    <w:top w:val="nil"/>
                    <w:left w:val="single" w:sz="4" w:space="0" w:color="auto"/>
                    <w:bottom w:val="single" w:sz="4" w:space="0" w:color="auto"/>
                    <w:right w:val="single" w:sz="4" w:space="0" w:color="auto"/>
                  </w:tcBorders>
                  <w:vAlign w:val="center"/>
                </w:tcPr>
                <w:p w:rsidR="00576B38" w:rsidRPr="009B5391" w:rsidRDefault="00576B38" w:rsidP="00730F1E">
                  <w:pPr>
                    <w:widowControl/>
                    <w:autoSpaceDE/>
                    <w:autoSpaceDN/>
                    <w:adjustRightInd/>
                    <w:jc w:val="right"/>
                    <w:outlineLvl w:val="9"/>
                    <w:rPr>
                      <w:color w:val="000000"/>
                    </w:rPr>
                  </w:pPr>
                  <w:r w:rsidRPr="009B5391">
                    <w:rPr>
                      <w:color w:val="000000"/>
                    </w:rPr>
                    <w:t>618 072</w:t>
                  </w:r>
                </w:p>
              </w:tc>
            </w:tr>
          </w:tbl>
          <w:p w:rsidR="00576B38" w:rsidRPr="009B5391" w:rsidRDefault="00576B38" w:rsidP="00863E40">
            <w:pPr>
              <w:spacing w:before="120"/>
              <w:jc w:val="both"/>
              <w:rPr>
                <w:noProof/>
              </w:rPr>
            </w:pPr>
          </w:p>
          <w:p w:rsidR="002D1875" w:rsidRPr="009B5391" w:rsidRDefault="002D1875" w:rsidP="00863E40">
            <w:pPr>
              <w:spacing w:before="120"/>
              <w:jc w:val="both"/>
              <w:rPr>
                <w:noProof/>
              </w:rPr>
            </w:pPr>
            <w:r w:rsidRPr="009B5391">
              <w:rPr>
                <w:noProof/>
              </w:rPr>
              <w:lastRenderedPageBreak/>
              <w:t xml:space="preserve">Středočeský kraj je zřizovatelem 273 příspěvkových organizací, z toho: </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 xml:space="preserve">v oblasti dopravy 1 příspěvkové organizace (Krajská správa a údržba silnic Středočeského kraje), </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 xml:space="preserve">v oblasti školství 187 příspěvkových organizací (školy a školská zařízení zřizovaná Středočeským krajem), </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 xml:space="preserve">v oblasti kultury 19 příspěvkových organizací (17 příspěvkových organizací je zaměřeno na činnost muzeí a galerií, Středočeská vědecká knihovna v Kladně a Ústav archeologické památkové péče středních Čech), </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 xml:space="preserve">v oblasti zdravotnictví 5 příspěvkových organizací (4 dětská centra a Zdravotnická záchranná služba Středočeského kraje), </w:t>
            </w:r>
          </w:p>
          <w:p w:rsidR="002D1875" w:rsidRPr="009B5391" w:rsidRDefault="002D1875" w:rsidP="00863E40">
            <w:pPr>
              <w:widowControl/>
              <w:numPr>
                <w:ilvl w:val="0"/>
                <w:numId w:val="10"/>
              </w:numPr>
              <w:tabs>
                <w:tab w:val="clear" w:pos="720"/>
              </w:tabs>
              <w:autoSpaceDE/>
              <w:autoSpaceDN/>
              <w:adjustRightInd/>
              <w:spacing w:line="340" w:lineRule="atLeast"/>
              <w:ind w:left="360"/>
              <w:jc w:val="both"/>
              <w:outlineLvl w:val="9"/>
              <w:rPr>
                <w:noProof/>
              </w:rPr>
            </w:pPr>
            <w:r w:rsidRPr="009B5391">
              <w:rPr>
                <w:noProof/>
              </w:rPr>
              <w:t>v oblasti sociálních věcí 61 příspěvkových organizací (36 domovů pro seniory, 21 domovů pro osoby se zdravotním postižením, 2 kombinovaná zařízení, 1 rodinná poradna a 1 zařízení sociální intervence).</w:t>
            </w:r>
          </w:p>
          <w:p w:rsidR="002D1875" w:rsidRPr="009B5391" w:rsidRDefault="002D1875" w:rsidP="00863E40">
            <w:pPr>
              <w:widowControl/>
              <w:autoSpaceDE/>
              <w:autoSpaceDN/>
              <w:adjustRightInd/>
              <w:spacing w:line="340" w:lineRule="atLeast"/>
              <w:ind w:left="360"/>
              <w:jc w:val="both"/>
              <w:outlineLvl w:val="9"/>
              <w:rPr>
                <w:noProof/>
              </w:rPr>
            </w:pPr>
          </w:p>
          <w:p w:rsidR="002D1875" w:rsidRPr="009B5391" w:rsidRDefault="002D1875" w:rsidP="00863E40">
            <w:pPr>
              <w:jc w:val="both"/>
              <w:rPr>
                <w:noProof/>
              </w:rPr>
            </w:pPr>
            <w:r w:rsidRPr="009B5391">
              <w:rPr>
                <w:noProof/>
              </w:rPr>
              <w:t>V roce 2014 vykázalo 244 organizací kladný nebo vyrovnaný hospodářský výsledek. Při porovnání s rokem 2013 vykázalo kladný nebo vyrovnaný hospodářský výsledek o 14 příspěvkových organizací více.</w:t>
            </w:r>
          </w:p>
          <w:p w:rsidR="002D1875" w:rsidRPr="009B5391" w:rsidRDefault="002D1875" w:rsidP="00863E40">
            <w:pPr>
              <w:widowControl/>
              <w:autoSpaceDE/>
              <w:autoSpaceDN/>
              <w:adjustRightInd/>
              <w:spacing w:after="200" w:line="276" w:lineRule="auto"/>
              <w:jc w:val="both"/>
              <w:outlineLvl w:val="9"/>
              <w:rPr>
                <w:b/>
                <w:bCs/>
                <w:noProof/>
              </w:rPr>
            </w:pPr>
          </w:p>
        </w:tc>
      </w:tr>
    </w:tbl>
    <w:p w:rsidR="002D1875" w:rsidRPr="009B5391" w:rsidRDefault="002D1875" w:rsidP="00863E40">
      <w:pPr>
        <w:widowControl/>
        <w:jc w:val="both"/>
        <w:outlineLvl w:val="9"/>
        <w:rPr>
          <w:b/>
          <w:bCs/>
          <w:noProof/>
          <w:sz w:val="22"/>
          <w:szCs w:val="22"/>
        </w:rPr>
      </w:pPr>
    </w:p>
    <w:p w:rsidR="00E07162" w:rsidRPr="00BB1AB0" w:rsidRDefault="00386CEA" w:rsidP="00523DA4">
      <w:pPr>
        <w:jc w:val="both"/>
        <w:rPr>
          <w:b/>
          <w:bCs/>
        </w:rPr>
      </w:pPr>
      <w:r w:rsidRPr="009B5391">
        <w:fldChar w:fldCharType="end"/>
      </w:r>
      <w:bookmarkEnd w:id="0"/>
    </w:p>
    <w:p w:rsidR="00E07162" w:rsidRPr="00BB1AB0" w:rsidRDefault="00E07162" w:rsidP="00E07162">
      <w:pPr>
        <w:widowControl/>
        <w:autoSpaceDE/>
        <w:autoSpaceDN/>
        <w:adjustRightInd/>
        <w:ind w:right="-1199"/>
        <w:jc w:val="both"/>
        <w:outlineLvl w:val="9"/>
        <w:rPr>
          <w:b/>
          <w:bCs/>
        </w:rPr>
      </w:pPr>
    </w:p>
    <w:tbl>
      <w:tblPr>
        <w:tblW w:w="9498" w:type="dxa"/>
        <w:tblInd w:w="55" w:type="dxa"/>
        <w:tblCellMar>
          <w:left w:w="70" w:type="dxa"/>
          <w:right w:w="70" w:type="dxa"/>
        </w:tblCellMar>
        <w:tblLook w:val="0000" w:firstRow="0" w:lastRow="0" w:firstColumn="0" w:lastColumn="0" w:noHBand="0" w:noVBand="0"/>
      </w:tblPr>
      <w:tblGrid>
        <w:gridCol w:w="5998"/>
        <w:gridCol w:w="1720"/>
        <w:gridCol w:w="1780"/>
      </w:tblGrid>
      <w:tr w:rsidR="00E07162" w:rsidRPr="00BB1AB0" w:rsidTr="00E07162">
        <w:trPr>
          <w:trHeight w:val="300"/>
        </w:trPr>
        <w:tc>
          <w:tcPr>
            <w:tcW w:w="5998" w:type="dxa"/>
            <w:tcBorders>
              <w:top w:val="nil"/>
              <w:left w:val="nil"/>
              <w:bottom w:val="nil"/>
              <w:right w:val="nil"/>
            </w:tcBorders>
            <w:noWrap/>
            <w:vAlign w:val="bottom"/>
          </w:tcPr>
          <w:p w:rsidR="00E07162" w:rsidRPr="00BB1AB0" w:rsidRDefault="00E07162" w:rsidP="00576B38">
            <w:pPr>
              <w:widowControl/>
              <w:autoSpaceDE/>
              <w:autoSpaceDN/>
              <w:adjustRightInd/>
              <w:outlineLvl w:val="9"/>
              <w:rPr>
                <w:color w:val="000000"/>
              </w:rPr>
            </w:pPr>
          </w:p>
        </w:tc>
        <w:tc>
          <w:tcPr>
            <w:tcW w:w="1720" w:type="dxa"/>
            <w:tcBorders>
              <w:top w:val="nil"/>
              <w:left w:val="nil"/>
              <w:bottom w:val="nil"/>
              <w:right w:val="nil"/>
            </w:tcBorders>
            <w:noWrap/>
            <w:vAlign w:val="bottom"/>
          </w:tcPr>
          <w:p w:rsidR="00E07162" w:rsidRPr="00BB1AB0" w:rsidRDefault="00E07162" w:rsidP="00E07162">
            <w:pPr>
              <w:widowControl/>
              <w:autoSpaceDE/>
              <w:autoSpaceDN/>
              <w:adjustRightInd/>
              <w:outlineLvl w:val="9"/>
              <w:rPr>
                <w:color w:val="000000"/>
              </w:rPr>
            </w:pPr>
          </w:p>
        </w:tc>
        <w:tc>
          <w:tcPr>
            <w:tcW w:w="1780" w:type="dxa"/>
            <w:tcBorders>
              <w:top w:val="nil"/>
              <w:left w:val="nil"/>
              <w:bottom w:val="nil"/>
              <w:right w:val="nil"/>
            </w:tcBorders>
            <w:noWrap/>
            <w:vAlign w:val="bottom"/>
          </w:tcPr>
          <w:p w:rsidR="00E07162" w:rsidRPr="00BB1AB0" w:rsidRDefault="00E07162" w:rsidP="00E07162">
            <w:pPr>
              <w:widowControl/>
              <w:autoSpaceDE/>
              <w:autoSpaceDN/>
              <w:adjustRightInd/>
              <w:outlineLvl w:val="9"/>
              <w:rPr>
                <w:color w:val="000000"/>
              </w:rPr>
            </w:pPr>
          </w:p>
        </w:tc>
      </w:tr>
    </w:tbl>
    <w:p w:rsidR="00E07162" w:rsidRPr="00BB1AB0" w:rsidRDefault="00E07162" w:rsidP="00E07162">
      <w:pPr>
        <w:widowControl/>
        <w:autoSpaceDE/>
        <w:autoSpaceDN/>
        <w:adjustRightInd/>
        <w:ind w:right="-1199"/>
        <w:jc w:val="both"/>
        <w:outlineLvl w:val="9"/>
        <w:rPr>
          <w:b/>
          <w:bCs/>
        </w:rPr>
      </w:pPr>
    </w:p>
    <w:p w:rsidR="00BB1AB0" w:rsidRDefault="00BB1AB0" w:rsidP="00BB1AB0">
      <w:pPr>
        <w:jc w:val="both"/>
      </w:pPr>
    </w:p>
    <w:p w:rsidR="00BB1AB0" w:rsidRDefault="00BB1AB0" w:rsidP="00BB1AB0">
      <w:pPr>
        <w:jc w:val="both"/>
      </w:pPr>
    </w:p>
    <w:p w:rsidR="00BB1AB0" w:rsidRDefault="00BB1AB0" w:rsidP="00BB1AB0">
      <w:pPr>
        <w:jc w:val="both"/>
      </w:pPr>
    </w:p>
    <w:p w:rsidR="00BB1AB0" w:rsidRDefault="00BB1AB0" w:rsidP="00BB1AB0">
      <w:pPr>
        <w:jc w:val="both"/>
      </w:pPr>
    </w:p>
    <w:p w:rsidR="00BB1AB0" w:rsidRDefault="00BB1AB0" w:rsidP="00BB1AB0">
      <w:pPr>
        <w:jc w:val="both"/>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p w:rsidR="002D1875" w:rsidRDefault="002D1875" w:rsidP="00B64277">
      <w:pPr>
        <w:rPr>
          <w:b/>
          <w:bCs/>
        </w:rPr>
      </w:pPr>
    </w:p>
    <w:sectPr w:rsidR="002D1875" w:rsidSect="00B04F37">
      <w:headerReference w:type="default" r:id="rId9"/>
      <w:footerReference w:type="default" r:id="rId10"/>
      <w:pgSz w:w="11906" w:h="16838" w:code="9"/>
      <w:pgMar w:top="851" w:right="1247" w:bottom="1701" w:left="1418"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DB0" w:rsidRDefault="00714DB0">
      <w:r>
        <w:separator/>
      </w:r>
    </w:p>
  </w:endnote>
  <w:endnote w:type="continuationSeparator" w:id="0">
    <w:p w:rsidR="00714DB0" w:rsidRDefault="0071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A8A" w:rsidRDefault="00714DB0">
    <w:pPr>
      <w:pStyle w:val="Zpat"/>
      <w:jc w:val="center"/>
    </w:pPr>
    <w:r>
      <w:fldChar w:fldCharType="begin"/>
    </w:r>
    <w:r>
      <w:instrText>PAGE   \* MERGEFORMAT</w:instrText>
    </w:r>
    <w:r>
      <w:fldChar w:fldCharType="separate"/>
    </w:r>
    <w:r w:rsidR="00F33EB1">
      <w:rPr>
        <w:noProof/>
      </w:rPr>
      <w:t>11</w:t>
    </w:r>
    <w:r>
      <w:rPr>
        <w:noProof/>
      </w:rPr>
      <w:fldChar w:fldCharType="end"/>
    </w:r>
  </w:p>
  <w:p w:rsidR="00406A8A" w:rsidRDefault="00406A8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DB0" w:rsidRDefault="00714DB0">
      <w:r>
        <w:separator/>
      </w:r>
    </w:p>
  </w:footnote>
  <w:footnote w:type="continuationSeparator" w:id="0">
    <w:p w:rsidR="00714DB0" w:rsidRDefault="00714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A8A" w:rsidRPr="003E4240" w:rsidRDefault="00406A8A" w:rsidP="003E4240">
    <w:pPr>
      <w:pStyle w:val="Zhlav"/>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EFBBF"/>
    <w:multiLevelType w:val="singleLevel"/>
    <w:tmpl w:val="00CDC459"/>
    <w:lvl w:ilvl="0">
      <w:numFmt w:val="bullet"/>
      <w:lvlText w:val="&#10;"/>
      <w:lvlJc w:val="left"/>
      <w:pPr>
        <w:tabs>
          <w:tab w:val="num" w:pos="360"/>
        </w:tabs>
        <w:ind w:left="360" w:hanging="360"/>
      </w:pPr>
      <w:rPr>
        <w:rFonts w:ascii="Symbol" w:hAnsi="Symbol" w:cs="Symbol"/>
        <w:sz w:val="24"/>
        <w:szCs w:val="24"/>
      </w:rPr>
    </w:lvl>
  </w:abstractNum>
  <w:abstractNum w:abstractNumId="1">
    <w:nsid w:val="0FCB14C6"/>
    <w:multiLevelType w:val="hybridMultilevel"/>
    <w:tmpl w:val="7A0A4BD0"/>
    <w:lvl w:ilvl="0" w:tplc="850A3D50">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2">
    <w:nsid w:val="2A844A8C"/>
    <w:multiLevelType w:val="hybridMultilevel"/>
    <w:tmpl w:val="3D10E8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32CECC0D"/>
    <w:multiLevelType w:val="singleLevel"/>
    <w:tmpl w:val="4F2CC2CE"/>
    <w:lvl w:ilvl="0">
      <w:numFmt w:val="bullet"/>
      <w:lvlText w:val="·"/>
      <w:lvlJc w:val="left"/>
      <w:pPr>
        <w:tabs>
          <w:tab w:val="num" w:pos="360"/>
        </w:tabs>
        <w:ind w:left="360" w:hanging="360"/>
      </w:pPr>
      <w:rPr>
        <w:rFonts w:ascii="Symbol" w:hAnsi="Symbol" w:cs="Symbol"/>
        <w:sz w:val="24"/>
        <w:szCs w:val="24"/>
      </w:rPr>
    </w:lvl>
  </w:abstractNum>
  <w:abstractNum w:abstractNumId="4">
    <w:nsid w:val="3AF16C1F"/>
    <w:multiLevelType w:val="hybridMultilevel"/>
    <w:tmpl w:val="46C0ABDC"/>
    <w:lvl w:ilvl="0" w:tplc="6C08E6E4">
      <w:start w:val="1"/>
      <w:numFmt w:val="decimal"/>
      <w:lvlText w:val="%1."/>
      <w:lvlJc w:val="left"/>
      <w:pPr>
        <w:ind w:left="1080" w:hanging="360"/>
      </w:pPr>
      <w:rPr>
        <w:rFonts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5">
    <w:nsid w:val="45AD4C5E"/>
    <w:multiLevelType w:val="hybridMultilevel"/>
    <w:tmpl w:val="F8A8CA1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5B90D7C2"/>
    <w:multiLevelType w:val="singleLevel"/>
    <w:tmpl w:val="5419EABF"/>
    <w:lvl w:ilvl="0">
      <w:numFmt w:val="bullet"/>
      <w:lvlText w:val="·"/>
      <w:lvlJc w:val="left"/>
      <w:pPr>
        <w:tabs>
          <w:tab w:val="num" w:pos="360"/>
        </w:tabs>
        <w:ind w:left="360" w:hanging="360"/>
      </w:pPr>
      <w:rPr>
        <w:rFonts w:ascii="Symbol" w:hAnsi="Symbol" w:cs="Symbol"/>
        <w:sz w:val="24"/>
        <w:szCs w:val="24"/>
      </w:rPr>
    </w:lvl>
  </w:abstractNum>
  <w:abstractNum w:abstractNumId="7">
    <w:nsid w:val="639E5F60"/>
    <w:multiLevelType w:val="singleLevel"/>
    <w:tmpl w:val="6FB13445"/>
    <w:lvl w:ilvl="0">
      <w:numFmt w:val="bullet"/>
      <w:lvlText w:val="·"/>
      <w:lvlJc w:val="left"/>
      <w:pPr>
        <w:tabs>
          <w:tab w:val="num" w:pos="360"/>
        </w:tabs>
        <w:ind w:left="360" w:hanging="360"/>
      </w:pPr>
      <w:rPr>
        <w:rFonts w:ascii="Symbol" w:hAnsi="Symbol" w:cs="Symbol"/>
        <w:sz w:val="24"/>
        <w:szCs w:val="24"/>
      </w:rPr>
    </w:lvl>
  </w:abstractNum>
  <w:abstractNum w:abstractNumId="8">
    <w:nsid w:val="650E1085"/>
    <w:multiLevelType w:val="hybridMultilevel"/>
    <w:tmpl w:val="11C2BA38"/>
    <w:lvl w:ilvl="0" w:tplc="C5F87286">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9">
    <w:nsid w:val="6B567FE1"/>
    <w:multiLevelType w:val="hybridMultilevel"/>
    <w:tmpl w:val="E88281EC"/>
    <w:lvl w:ilvl="0" w:tplc="3168C270">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0">
    <w:nsid w:val="72A7BA7B"/>
    <w:multiLevelType w:val="multilevel"/>
    <w:tmpl w:val="1E4DE0E5"/>
    <w:lvl w:ilvl="0">
      <w:numFmt w:val="bullet"/>
      <w:lvlText w:val="-"/>
      <w:lvlJc w:val="left"/>
      <w:pPr>
        <w:tabs>
          <w:tab w:val="num" w:pos="720"/>
        </w:tabs>
        <w:ind w:left="720" w:hanging="360"/>
      </w:pPr>
      <w:rPr>
        <w:rFonts w:ascii="Times New Roman" w:hAnsi="Times New Roman" w:cs="Times New Roman"/>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
    <w:nsid w:val="745B0769"/>
    <w:multiLevelType w:val="hybridMultilevel"/>
    <w:tmpl w:val="5ED0BB8E"/>
    <w:lvl w:ilvl="0" w:tplc="FFFC03C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nsid w:val="798E1A2D"/>
    <w:multiLevelType w:val="hybridMultilevel"/>
    <w:tmpl w:val="969C4E8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nsid w:val="7F703A7D"/>
    <w:multiLevelType w:val="hybridMultilevel"/>
    <w:tmpl w:val="E198FE32"/>
    <w:lvl w:ilvl="0" w:tplc="96A0E91E">
      <w:start w:val="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3"/>
  </w:num>
  <w:num w:numId="2">
    <w:abstractNumId w:val="11"/>
  </w:num>
  <w:num w:numId="3">
    <w:abstractNumId w:val="2"/>
  </w:num>
  <w:num w:numId="4">
    <w:abstractNumId w:val="5"/>
  </w:num>
  <w:num w:numId="5">
    <w:abstractNumId w:val="12"/>
  </w:num>
  <w:num w:numId="6">
    <w:abstractNumId w:val="0"/>
  </w:num>
  <w:num w:numId="7">
    <w:abstractNumId w:val="6"/>
  </w:num>
  <w:num w:numId="8">
    <w:abstractNumId w:val="3"/>
  </w:num>
  <w:num w:numId="9">
    <w:abstractNumId w:val="7"/>
  </w:num>
  <w:num w:numId="10">
    <w:abstractNumId w:val="10"/>
  </w:num>
  <w:num w:numId="11">
    <w:abstractNumId w:val="4"/>
  </w:num>
  <w:num w:numId="12">
    <w:abstractNumId w:val="9"/>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DOC_NAME" w:val="Návrh"/>
    <w:docVar w:name="pID_FILE" w:val="22022302"/>
    <w:docVar w:name="pID_PIS" w:val="21952441"/>
    <w:docVar w:name="sCJ" w:val="0102/2012/U0/abcyy12"/>
    <w:docVar w:name="sEC" w:val="2075(2012)"/>
  </w:docVars>
  <w:rsids>
    <w:rsidRoot w:val="00BD30BE"/>
    <w:rsid w:val="00002F08"/>
    <w:rsid w:val="0001048F"/>
    <w:rsid w:val="000126A0"/>
    <w:rsid w:val="000134AD"/>
    <w:rsid w:val="00021069"/>
    <w:rsid w:val="000210E4"/>
    <w:rsid w:val="00021964"/>
    <w:rsid w:val="00024E45"/>
    <w:rsid w:val="00034EFF"/>
    <w:rsid w:val="00037E2B"/>
    <w:rsid w:val="0004262B"/>
    <w:rsid w:val="000448CC"/>
    <w:rsid w:val="00046539"/>
    <w:rsid w:val="00050DB1"/>
    <w:rsid w:val="00051C14"/>
    <w:rsid w:val="00060B98"/>
    <w:rsid w:val="00061E7C"/>
    <w:rsid w:val="0006637E"/>
    <w:rsid w:val="00070B1F"/>
    <w:rsid w:val="000728EF"/>
    <w:rsid w:val="0008422F"/>
    <w:rsid w:val="00084FAA"/>
    <w:rsid w:val="00087710"/>
    <w:rsid w:val="00090278"/>
    <w:rsid w:val="000935A5"/>
    <w:rsid w:val="0009422C"/>
    <w:rsid w:val="00095864"/>
    <w:rsid w:val="000A4463"/>
    <w:rsid w:val="000A4FD5"/>
    <w:rsid w:val="000A75A7"/>
    <w:rsid w:val="000A7CA9"/>
    <w:rsid w:val="000A7EC1"/>
    <w:rsid w:val="000B35EE"/>
    <w:rsid w:val="000B7AA5"/>
    <w:rsid w:val="000B7DDE"/>
    <w:rsid w:val="000C41E4"/>
    <w:rsid w:val="000D6E3D"/>
    <w:rsid w:val="000D7DEB"/>
    <w:rsid w:val="000E2248"/>
    <w:rsid w:val="000E4D7C"/>
    <w:rsid w:val="000E656D"/>
    <w:rsid w:val="000F2D1D"/>
    <w:rsid w:val="000F402B"/>
    <w:rsid w:val="00102032"/>
    <w:rsid w:val="0010302F"/>
    <w:rsid w:val="00105190"/>
    <w:rsid w:val="00106296"/>
    <w:rsid w:val="0012126C"/>
    <w:rsid w:val="00121DF3"/>
    <w:rsid w:val="0012329E"/>
    <w:rsid w:val="00125375"/>
    <w:rsid w:val="001265FA"/>
    <w:rsid w:val="00133AD9"/>
    <w:rsid w:val="00135B02"/>
    <w:rsid w:val="00137BBA"/>
    <w:rsid w:val="001470CE"/>
    <w:rsid w:val="00147188"/>
    <w:rsid w:val="00154882"/>
    <w:rsid w:val="00157EB2"/>
    <w:rsid w:val="00161093"/>
    <w:rsid w:val="00164996"/>
    <w:rsid w:val="001652BE"/>
    <w:rsid w:val="00171C9F"/>
    <w:rsid w:val="00176A46"/>
    <w:rsid w:val="0018376F"/>
    <w:rsid w:val="00184FF1"/>
    <w:rsid w:val="00186B93"/>
    <w:rsid w:val="00191A91"/>
    <w:rsid w:val="0019563C"/>
    <w:rsid w:val="001A03B1"/>
    <w:rsid w:val="001A1548"/>
    <w:rsid w:val="001A569B"/>
    <w:rsid w:val="001B4ABA"/>
    <w:rsid w:val="001B4F0A"/>
    <w:rsid w:val="001B7237"/>
    <w:rsid w:val="001B7C24"/>
    <w:rsid w:val="001C136C"/>
    <w:rsid w:val="001D0C79"/>
    <w:rsid w:val="001D4B80"/>
    <w:rsid w:val="001E21D4"/>
    <w:rsid w:val="001E2FD0"/>
    <w:rsid w:val="001E50D0"/>
    <w:rsid w:val="001F5AD4"/>
    <w:rsid w:val="001F644B"/>
    <w:rsid w:val="0020232E"/>
    <w:rsid w:val="00205624"/>
    <w:rsid w:val="002135B2"/>
    <w:rsid w:val="00223CA1"/>
    <w:rsid w:val="00225EF4"/>
    <w:rsid w:val="00227893"/>
    <w:rsid w:val="00230FCA"/>
    <w:rsid w:val="00242580"/>
    <w:rsid w:val="00244231"/>
    <w:rsid w:val="002459A1"/>
    <w:rsid w:val="00253420"/>
    <w:rsid w:val="00255F78"/>
    <w:rsid w:val="002619A8"/>
    <w:rsid w:val="00265291"/>
    <w:rsid w:val="0026531F"/>
    <w:rsid w:val="00265E98"/>
    <w:rsid w:val="00267FD4"/>
    <w:rsid w:val="00270903"/>
    <w:rsid w:val="00272054"/>
    <w:rsid w:val="0027552E"/>
    <w:rsid w:val="002759B9"/>
    <w:rsid w:val="00277DA9"/>
    <w:rsid w:val="00285DE2"/>
    <w:rsid w:val="002875C7"/>
    <w:rsid w:val="0029266F"/>
    <w:rsid w:val="00292E98"/>
    <w:rsid w:val="00294B7F"/>
    <w:rsid w:val="00297BA0"/>
    <w:rsid w:val="002A0C29"/>
    <w:rsid w:val="002A216A"/>
    <w:rsid w:val="002A260D"/>
    <w:rsid w:val="002A627F"/>
    <w:rsid w:val="002B0923"/>
    <w:rsid w:val="002B122E"/>
    <w:rsid w:val="002C0534"/>
    <w:rsid w:val="002C165D"/>
    <w:rsid w:val="002C20C6"/>
    <w:rsid w:val="002C47E9"/>
    <w:rsid w:val="002C5851"/>
    <w:rsid w:val="002C5E25"/>
    <w:rsid w:val="002D1875"/>
    <w:rsid w:val="002D1CAA"/>
    <w:rsid w:val="002D2E74"/>
    <w:rsid w:val="002E1FD0"/>
    <w:rsid w:val="002E51B0"/>
    <w:rsid w:val="002E5A91"/>
    <w:rsid w:val="002E6F47"/>
    <w:rsid w:val="002E7B9B"/>
    <w:rsid w:val="002F24EE"/>
    <w:rsid w:val="002F2E2B"/>
    <w:rsid w:val="002F5DB6"/>
    <w:rsid w:val="00306610"/>
    <w:rsid w:val="00314EB1"/>
    <w:rsid w:val="003166A6"/>
    <w:rsid w:val="00317CC2"/>
    <w:rsid w:val="003225AD"/>
    <w:rsid w:val="003244CA"/>
    <w:rsid w:val="003264BC"/>
    <w:rsid w:val="003264C4"/>
    <w:rsid w:val="00326B87"/>
    <w:rsid w:val="003339CA"/>
    <w:rsid w:val="00336972"/>
    <w:rsid w:val="00336D37"/>
    <w:rsid w:val="00342850"/>
    <w:rsid w:val="0034343F"/>
    <w:rsid w:val="00343A73"/>
    <w:rsid w:val="00344B79"/>
    <w:rsid w:val="00346E52"/>
    <w:rsid w:val="00386CEA"/>
    <w:rsid w:val="003A207D"/>
    <w:rsid w:val="003A22A4"/>
    <w:rsid w:val="003A258A"/>
    <w:rsid w:val="003B420D"/>
    <w:rsid w:val="003C075C"/>
    <w:rsid w:val="003C27DC"/>
    <w:rsid w:val="003C2B30"/>
    <w:rsid w:val="003C356E"/>
    <w:rsid w:val="003C5431"/>
    <w:rsid w:val="003C64A8"/>
    <w:rsid w:val="003D2C18"/>
    <w:rsid w:val="003D5A84"/>
    <w:rsid w:val="003E4240"/>
    <w:rsid w:val="003F74D0"/>
    <w:rsid w:val="003F7739"/>
    <w:rsid w:val="00401996"/>
    <w:rsid w:val="004069C6"/>
    <w:rsid w:val="00406A8A"/>
    <w:rsid w:val="00416B5E"/>
    <w:rsid w:val="00420B09"/>
    <w:rsid w:val="00424094"/>
    <w:rsid w:val="00434CA7"/>
    <w:rsid w:val="004419F1"/>
    <w:rsid w:val="00442C41"/>
    <w:rsid w:val="00444AC8"/>
    <w:rsid w:val="00455EAE"/>
    <w:rsid w:val="0045658B"/>
    <w:rsid w:val="004718EE"/>
    <w:rsid w:val="00473241"/>
    <w:rsid w:val="00475F7A"/>
    <w:rsid w:val="00480BB1"/>
    <w:rsid w:val="004927FB"/>
    <w:rsid w:val="004937A4"/>
    <w:rsid w:val="00495812"/>
    <w:rsid w:val="00497D25"/>
    <w:rsid w:val="004B52F8"/>
    <w:rsid w:val="004C6785"/>
    <w:rsid w:val="004D401B"/>
    <w:rsid w:val="004D6E69"/>
    <w:rsid w:val="004E08A1"/>
    <w:rsid w:val="004E3DAF"/>
    <w:rsid w:val="004E56EB"/>
    <w:rsid w:val="004E5A44"/>
    <w:rsid w:val="004E5AB7"/>
    <w:rsid w:val="004F0D1C"/>
    <w:rsid w:val="004F1911"/>
    <w:rsid w:val="004F423C"/>
    <w:rsid w:val="00500FC5"/>
    <w:rsid w:val="00506C38"/>
    <w:rsid w:val="0050794A"/>
    <w:rsid w:val="00511A37"/>
    <w:rsid w:val="00512671"/>
    <w:rsid w:val="005135D9"/>
    <w:rsid w:val="00516162"/>
    <w:rsid w:val="005203EF"/>
    <w:rsid w:val="00523DA4"/>
    <w:rsid w:val="00524267"/>
    <w:rsid w:val="00526164"/>
    <w:rsid w:val="00527DC2"/>
    <w:rsid w:val="00546F14"/>
    <w:rsid w:val="0055069C"/>
    <w:rsid w:val="0055096A"/>
    <w:rsid w:val="00554B74"/>
    <w:rsid w:val="0055595F"/>
    <w:rsid w:val="00563A64"/>
    <w:rsid w:val="00566C6D"/>
    <w:rsid w:val="00576B38"/>
    <w:rsid w:val="00576E02"/>
    <w:rsid w:val="00584619"/>
    <w:rsid w:val="00587691"/>
    <w:rsid w:val="005922DF"/>
    <w:rsid w:val="0059467E"/>
    <w:rsid w:val="005B1E3F"/>
    <w:rsid w:val="005B3877"/>
    <w:rsid w:val="005B3DCB"/>
    <w:rsid w:val="005B4CC4"/>
    <w:rsid w:val="005B6510"/>
    <w:rsid w:val="005C0172"/>
    <w:rsid w:val="005C3F06"/>
    <w:rsid w:val="005D13FA"/>
    <w:rsid w:val="005D53AB"/>
    <w:rsid w:val="005E167A"/>
    <w:rsid w:val="005E3974"/>
    <w:rsid w:val="005E6AE9"/>
    <w:rsid w:val="005E6BA5"/>
    <w:rsid w:val="005F2AED"/>
    <w:rsid w:val="006022D7"/>
    <w:rsid w:val="00602785"/>
    <w:rsid w:val="00605EEB"/>
    <w:rsid w:val="00611526"/>
    <w:rsid w:val="0061483F"/>
    <w:rsid w:val="00615798"/>
    <w:rsid w:val="006227C6"/>
    <w:rsid w:val="006354E7"/>
    <w:rsid w:val="00637256"/>
    <w:rsid w:val="00637CA6"/>
    <w:rsid w:val="006524CA"/>
    <w:rsid w:val="00652EC4"/>
    <w:rsid w:val="00654068"/>
    <w:rsid w:val="006603F3"/>
    <w:rsid w:val="006620BC"/>
    <w:rsid w:val="00662198"/>
    <w:rsid w:val="00663334"/>
    <w:rsid w:val="0066470B"/>
    <w:rsid w:val="0069266A"/>
    <w:rsid w:val="00695A94"/>
    <w:rsid w:val="00695B7E"/>
    <w:rsid w:val="00696E34"/>
    <w:rsid w:val="006A0034"/>
    <w:rsid w:val="006A5FEF"/>
    <w:rsid w:val="006B2D20"/>
    <w:rsid w:val="006B5959"/>
    <w:rsid w:val="006B69E2"/>
    <w:rsid w:val="006C0D85"/>
    <w:rsid w:val="006C5B7E"/>
    <w:rsid w:val="006C5ED2"/>
    <w:rsid w:val="006D001D"/>
    <w:rsid w:val="006D40AA"/>
    <w:rsid w:val="006D422D"/>
    <w:rsid w:val="006E0F6E"/>
    <w:rsid w:val="006E29BB"/>
    <w:rsid w:val="006E653D"/>
    <w:rsid w:val="006E6D0F"/>
    <w:rsid w:val="006F54F7"/>
    <w:rsid w:val="006F5AFF"/>
    <w:rsid w:val="006F5DF4"/>
    <w:rsid w:val="006F701E"/>
    <w:rsid w:val="0070239B"/>
    <w:rsid w:val="007143C7"/>
    <w:rsid w:val="00714DB0"/>
    <w:rsid w:val="00715962"/>
    <w:rsid w:val="007179AA"/>
    <w:rsid w:val="00717DD1"/>
    <w:rsid w:val="007228BD"/>
    <w:rsid w:val="00722A08"/>
    <w:rsid w:val="0072306E"/>
    <w:rsid w:val="00723A03"/>
    <w:rsid w:val="00730F1E"/>
    <w:rsid w:val="007331D0"/>
    <w:rsid w:val="00736B94"/>
    <w:rsid w:val="0074141C"/>
    <w:rsid w:val="00750D8B"/>
    <w:rsid w:val="00754C24"/>
    <w:rsid w:val="00755484"/>
    <w:rsid w:val="00755784"/>
    <w:rsid w:val="00757652"/>
    <w:rsid w:val="007605D8"/>
    <w:rsid w:val="00765142"/>
    <w:rsid w:val="007658DA"/>
    <w:rsid w:val="00767ACA"/>
    <w:rsid w:val="00774CDF"/>
    <w:rsid w:val="00775C36"/>
    <w:rsid w:val="00781886"/>
    <w:rsid w:val="007818B6"/>
    <w:rsid w:val="00781C9C"/>
    <w:rsid w:val="007858E4"/>
    <w:rsid w:val="00790EB3"/>
    <w:rsid w:val="00795B4F"/>
    <w:rsid w:val="00797D06"/>
    <w:rsid w:val="007A0EAD"/>
    <w:rsid w:val="007A3BE7"/>
    <w:rsid w:val="007C39DF"/>
    <w:rsid w:val="007D5BB7"/>
    <w:rsid w:val="007D61A7"/>
    <w:rsid w:val="007E3B8B"/>
    <w:rsid w:val="007F04EF"/>
    <w:rsid w:val="007F5FA8"/>
    <w:rsid w:val="007F6514"/>
    <w:rsid w:val="007F69AF"/>
    <w:rsid w:val="00803AFD"/>
    <w:rsid w:val="0080432C"/>
    <w:rsid w:val="008124F3"/>
    <w:rsid w:val="0081255F"/>
    <w:rsid w:val="008225AF"/>
    <w:rsid w:val="00825AA3"/>
    <w:rsid w:val="008327BF"/>
    <w:rsid w:val="00855C2D"/>
    <w:rsid w:val="00863117"/>
    <w:rsid w:val="00863E2C"/>
    <w:rsid w:val="00863E40"/>
    <w:rsid w:val="008644EB"/>
    <w:rsid w:val="00866E05"/>
    <w:rsid w:val="00867614"/>
    <w:rsid w:val="00873249"/>
    <w:rsid w:val="008733BA"/>
    <w:rsid w:val="00875891"/>
    <w:rsid w:val="00885E7A"/>
    <w:rsid w:val="00892641"/>
    <w:rsid w:val="0089294F"/>
    <w:rsid w:val="0089525B"/>
    <w:rsid w:val="00897827"/>
    <w:rsid w:val="008978AD"/>
    <w:rsid w:val="008A6BED"/>
    <w:rsid w:val="008B13C5"/>
    <w:rsid w:val="008B4AB7"/>
    <w:rsid w:val="008B6073"/>
    <w:rsid w:val="008C4F1A"/>
    <w:rsid w:val="008D4FD6"/>
    <w:rsid w:val="008D72D3"/>
    <w:rsid w:val="008E0457"/>
    <w:rsid w:val="008E2905"/>
    <w:rsid w:val="008E4E83"/>
    <w:rsid w:val="008E7CAE"/>
    <w:rsid w:val="008F0326"/>
    <w:rsid w:val="008F0C1F"/>
    <w:rsid w:val="008F3A0D"/>
    <w:rsid w:val="008F5F0D"/>
    <w:rsid w:val="00920018"/>
    <w:rsid w:val="00920D1A"/>
    <w:rsid w:val="00924854"/>
    <w:rsid w:val="00931429"/>
    <w:rsid w:val="00932B54"/>
    <w:rsid w:val="009368B1"/>
    <w:rsid w:val="00943859"/>
    <w:rsid w:val="0095053C"/>
    <w:rsid w:val="00962427"/>
    <w:rsid w:val="00963D0E"/>
    <w:rsid w:val="00963D11"/>
    <w:rsid w:val="009700EA"/>
    <w:rsid w:val="0097136F"/>
    <w:rsid w:val="0097338C"/>
    <w:rsid w:val="009748B3"/>
    <w:rsid w:val="00975413"/>
    <w:rsid w:val="0098280E"/>
    <w:rsid w:val="00986957"/>
    <w:rsid w:val="00986BBB"/>
    <w:rsid w:val="00986DB8"/>
    <w:rsid w:val="00987B01"/>
    <w:rsid w:val="009945EA"/>
    <w:rsid w:val="009A5254"/>
    <w:rsid w:val="009B2BC2"/>
    <w:rsid w:val="009B33B7"/>
    <w:rsid w:val="009B4670"/>
    <w:rsid w:val="009B5391"/>
    <w:rsid w:val="009B776E"/>
    <w:rsid w:val="009C0A11"/>
    <w:rsid w:val="009D2D3D"/>
    <w:rsid w:val="009D3E77"/>
    <w:rsid w:val="009D6C5F"/>
    <w:rsid w:val="009E1CFA"/>
    <w:rsid w:val="009E2F82"/>
    <w:rsid w:val="009E3FB5"/>
    <w:rsid w:val="009E55B6"/>
    <w:rsid w:val="009E788B"/>
    <w:rsid w:val="00A003E6"/>
    <w:rsid w:val="00A00B57"/>
    <w:rsid w:val="00A059A8"/>
    <w:rsid w:val="00A0623A"/>
    <w:rsid w:val="00A134EA"/>
    <w:rsid w:val="00A17871"/>
    <w:rsid w:val="00A2055C"/>
    <w:rsid w:val="00A23036"/>
    <w:rsid w:val="00A2544E"/>
    <w:rsid w:val="00A34E34"/>
    <w:rsid w:val="00A42494"/>
    <w:rsid w:val="00A51AB2"/>
    <w:rsid w:val="00A5522A"/>
    <w:rsid w:val="00A57EA7"/>
    <w:rsid w:val="00A60379"/>
    <w:rsid w:val="00A613BA"/>
    <w:rsid w:val="00A644B8"/>
    <w:rsid w:val="00A64DD3"/>
    <w:rsid w:val="00A8129B"/>
    <w:rsid w:val="00A83D78"/>
    <w:rsid w:val="00A9211F"/>
    <w:rsid w:val="00A979B8"/>
    <w:rsid w:val="00AA183B"/>
    <w:rsid w:val="00AA3894"/>
    <w:rsid w:val="00AA782D"/>
    <w:rsid w:val="00AB08E3"/>
    <w:rsid w:val="00AB7925"/>
    <w:rsid w:val="00AC2037"/>
    <w:rsid w:val="00AC6E66"/>
    <w:rsid w:val="00AD2FCC"/>
    <w:rsid w:val="00AD5EA4"/>
    <w:rsid w:val="00AE2AFC"/>
    <w:rsid w:val="00AE45E0"/>
    <w:rsid w:val="00AE70A2"/>
    <w:rsid w:val="00AF2D76"/>
    <w:rsid w:val="00AF7B34"/>
    <w:rsid w:val="00B04737"/>
    <w:rsid w:val="00B04F37"/>
    <w:rsid w:val="00B14F6C"/>
    <w:rsid w:val="00B207B0"/>
    <w:rsid w:val="00B210C8"/>
    <w:rsid w:val="00B25EF5"/>
    <w:rsid w:val="00B26DF4"/>
    <w:rsid w:val="00B2792F"/>
    <w:rsid w:val="00B35569"/>
    <w:rsid w:val="00B36C36"/>
    <w:rsid w:val="00B408FD"/>
    <w:rsid w:val="00B41085"/>
    <w:rsid w:val="00B423F2"/>
    <w:rsid w:val="00B45A0C"/>
    <w:rsid w:val="00B51F96"/>
    <w:rsid w:val="00B54B68"/>
    <w:rsid w:val="00B60EAE"/>
    <w:rsid w:val="00B64277"/>
    <w:rsid w:val="00B6482A"/>
    <w:rsid w:val="00B732E0"/>
    <w:rsid w:val="00B760B1"/>
    <w:rsid w:val="00B8550B"/>
    <w:rsid w:val="00B87C8C"/>
    <w:rsid w:val="00B91D42"/>
    <w:rsid w:val="00B97F27"/>
    <w:rsid w:val="00BA0BC4"/>
    <w:rsid w:val="00BA18A6"/>
    <w:rsid w:val="00BA703A"/>
    <w:rsid w:val="00BA73DB"/>
    <w:rsid w:val="00BB064D"/>
    <w:rsid w:val="00BB077B"/>
    <w:rsid w:val="00BB1AB0"/>
    <w:rsid w:val="00BB2920"/>
    <w:rsid w:val="00BB3BE3"/>
    <w:rsid w:val="00BB7844"/>
    <w:rsid w:val="00BD003B"/>
    <w:rsid w:val="00BD10AA"/>
    <w:rsid w:val="00BD15FA"/>
    <w:rsid w:val="00BD30BE"/>
    <w:rsid w:val="00BD3CA8"/>
    <w:rsid w:val="00BE1498"/>
    <w:rsid w:val="00BE261B"/>
    <w:rsid w:val="00BE4630"/>
    <w:rsid w:val="00BE52A5"/>
    <w:rsid w:val="00BF1E02"/>
    <w:rsid w:val="00BF5F3D"/>
    <w:rsid w:val="00C01D50"/>
    <w:rsid w:val="00C03BEF"/>
    <w:rsid w:val="00C04B00"/>
    <w:rsid w:val="00C07EFF"/>
    <w:rsid w:val="00C13133"/>
    <w:rsid w:val="00C211A8"/>
    <w:rsid w:val="00C23242"/>
    <w:rsid w:val="00C35941"/>
    <w:rsid w:val="00C35CAE"/>
    <w:rsid w:val="00C4298D"/>
    <w:rsid w:val="00C47B08"/>
    <w:rsid w:val="00C50A76"/>
    <w:rsid w:val="00C67855"/>
    <w:rsid w:val="00C70226"/>
    <w:rsid w:val="00C732AB"/>
    <w:rsid w:val="00C75353"/>
    <w:rsid w:val="00C77093"/>
    <w:rsid w:val="00C81636"/>
    <w:rsid w:val="00C90567"/>
    <w:rsid w:val="00C92DE4"/>
    <w:rsid w:val="00C92EC4"/>
    <w:rsid w:val="00CA4BC6"/>
    <w:rsid w:val="00CB2E32"/>
    <w:rsid w:val="00CB6081"/>
    <w:rsid w:val="00CC4C7B"/>
    <w:rsid w:val="00CD651C"/>
    <w:rsid w:val="00CD6C86"/>
    <w:rsid w:val="00CE0EE2"/>
    <w:rsid w:val="00CE1AB8"/>
    <w:rsid w:val="00CE39D1"/>
    <w:rsid w:val="00CE5F78"/>
    <w:rsid w:val="00CE65BD"/>
    <w:rsid w:val="00CE70EE"/>
    <w:rsid w:val="00D0080A"/>
    <w:rsid w:val="00D05838"/>
    <w:rsid w:val="00D06A5D"/>
    <w:rsid w:val="00D071FD"/>
    <w:rsid w:val="00D119F2"/>
    <w:rsid w:val="00D12BB6"/>
    <w:rsid w:val="00D141F4"/>
    <w:rsid w:val="00D21146"/>
    <w:rsid w:val="00D22468"/>
    <w:rsid w:val="00D24F64"/>
    <w:rsid w:val="00D25B97"/>
    <w:rsid w:val="00D25ED6"/>
    <w:rsid w:val="00D3053C"/>
    <w:rsid w:val="00D3267A"/>
    <w:rsid w:val="00D350A6"/>
    <w:rsid w:val="00D3760C"/>
    <w:rsid w:val="00D401E4"/>
    <w:rsid w:val="00D42BB8"/>
    <w:rsid w:val="00D450BB"/>
    <w:rsid w:val="00D46803"/>
    <w:rsid w:val="00D52619"/>
    <w:rsid w:val="00D53610"/>
    <w:rsid w:val="00D62016"/>
    <w:rsid w:val="00D732CD"/>
    <w:rsid w:val="00D758B5"/>
    <w:rsid w:val="00D8252D"/>
    <w:rsid w:val="00D900D2"/>
    <w:rsid w:val="00D916ED"/>
    <w:rsid w:val="00D9697C"/>
    <w:rsid w:val="00D9755C"/>
    <w:rsid w:val="00DA010F"/>
    <w:rsid w:val="00DA3C77"/>
    <w:rsid w:val="00DA47F4"/>
    <w:rsid w:val="00DA5C72"/>
    <w:rsid w:val="00DA6A62"/>
    <w:rsid w:val="00DB1D60"/>
    <w:rsid w:val="00DB3174"/>
    <w:rsid w:val="00DB75E5"/>
    <w:rsid w:val="00DC175E"/>
    <w:rsid w:val="00DC1E08"/>
    <w:rsid w:val="00DC7CD2"/>
    <w:rsid w:val="00DD207D"/>
    <w:rsid w:val="00DD3C4F"/>
    <w:rsid w:val="00DD6217"/>
    <w:rsid w:val="00DD6FEF"/>
    <w:rsid w:val="00DD7B18"/>
    <w:rsid w:val="00DE4320"/>
    <w:rsid w:val="00DF087B"/>
    <w:rsid w:val="00DF19C7"/>
    <w:rsid w:val="00E011E5"/>
    <w:rsid w:val="00E03384"/>
    <w:rsid w:val="00E0465E"/>
    <w:rsid w:val="00E05874"/>
    <w:rsid w:val="00E07157"/>
    <w:rsid w:val="00E07162"/>
    <w:rsid w:val="00E1148F"/>
    <w:rsid w:val="00E12FAA"/>
    <w:rsid w:val="00E13525"/>
    <w:rsid w:val="00E24AE2"/>
    <w:rsid w:val="00E263A0"/>
    <w:rsid w:val="00E26406"/>
    <w:rsid w:val="00E332AB"/>
    <w:rsid w:val="00E50AE5"/>
    <w:rsid w:val="00E562A5"/>
    <w:rsid w:val="00E66B49"/>
    <w:rsid w:val="00E84140"/>
    <w:rsid w:val="00E84D17"/>
    <w:rsid w:val="00E87DD8"/>
    <w:rsid w:val="00E92AB8"/>
    <w:rsid w:val="00E94AEF"/>
    <w:rsid w:val="00E959DA"/>
    <w:rsid w:val="00EA3A00"/>
    <w:rsid w:val="00EB0E5E"/>
    <w:rsid w:val="00EB2D62"/>
    <w:rsid w:val="00EB4BCE"/>
    <w:rsid w:val="00EB74D6"/>
    <w:rsid w:val="00EB7881"/>
    <w:rsid w:val="00EC0F53"/>
    <w:rsid w:val="00EC6E4F"/>
    <w:rsid w:val="00ED4EA4"/>
    <w:rsid w:val="00EE31AD"/>
    <w:rsid w:val="00EF17A7"/>
    <w:rsid w:val="00EF2FE0"/>
    <w:rsid w:val="00EF4B8D"/>
    <w:rsid w:val="00EF5064"/>
    <w:rsid w:val="00F00DDB"/>
    <w:rsid w:val="00F02E42"/>
    <w:rsid w:val="00F0358C"/>
    <w:rsid w:val="00F0588A"/>
    <w:rsid w:val="00F06FF3"/>
    <w:rsid w:val="00F11CCC"/>
    <w:rsid w:val="00F12E54"/>
    <w:rsid w:val="00F14B58"/>
    <w:rsid w:val="00F22A72"/>
    <w:rsid w:val="00F2564F"/>
    <w:rsid w:val="00F33005"/>
    <w:rsid w:val="00F33EB1"/>
    <w:rsid w:val="00F379A3"/>
    <w:rsid w:val="00F43500"/>
    <w:rsid w:val="00F60E01"/>
    <w:rsid w:val="00F63484"/>
    <w:rsid w:val="00F648CB"/>
    <w:rsid w:val="00F64B2F"/>
    <w:rsid w:val="00F70954"/>
    <w:rsid w:val="00F715EF"/>
    <w:rsid w:val="00F74577"/>
    <w:rsid w:val="00F806DB"/>
    <w:rsid w:val="00F83FDF"/>
    <w:rsid w:val="00F90032"/>
    <w:rsid w:val="00F90C48"/>
    <w:rsid w:val="00F91AE9"/>
    <w:rsid w:val="00F947B9"/>
    <w:rsid w:val="00F947FA"/>
    <w:rsid w:val="00F9792D"/>
    <w:rsid w:val="00FA372F"/>
    <w:rsid w:val="00FB0A5C"/>
    <w:rsid w:val="00FC3238"/>
    <w:rsid w:val="00FC7AE1"/>
    <w:rsid w:val="00FD4184"/>
    <w:rsid w:val="00FD7FCF"/>
    <w:rsid w:val="00FE01E9"/>
    <w:rsid w:val="00FF1DAE"/>
    <w:rsid w:val="00FF4679"/>
    <w:rsid w:val="00FF5CFD"/>
    <w:rsid w:val="00FF7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02AFB2-71A7-4921-B00C-4A80E605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B0E5E"/>
    <w:pPr>
      <w:widowControl w:val="0"/>
      <w:autoSpaceDE w:val="0"/>
      <w:autoSpaceDN w:val="0"/>
      <w:adjustRightInd w:val="0"/>
      <w:outlineLvl w:val="0"/>
    </w:pPr>
    <w:rPr>
      <w:sz w:val="24"/>
      <w:szCs w:val="24"/>
    </w:rPr>
  </w:style>
  <w:style w:type="paragraph" w:styleId="Nadpis1">
    <w:name w:val="heading 1"/>
    <w:basedOn w:val="Normln"/>
    <w:next w:val="Normln"/>
    <w:link w:val="Nadpis1Char"/>
    <w:uiPriority w:val="99"/>
    <w:qFormat/>
    <w:rsid w:val="00EB0E5E"/>
    <w:rPr>
      <w:rFonts w:ascii="Cambria" w:hAnsi="Cambria" w:cs="Cambria"/>
      <w:b/>
      <w:bCs/>
      <w:kern w:val="32"/>
      <w:sz w:val="32"/>
      <w:szCs w:val="32"/>
    </w:rPr>
  </w:style>
  <w:style w:type="paragraph" w:styleId="Nadpis2">
    <w:name w:val="heading 2"/>
    <w:basedOn w:val="Normln"/>
    <w:next w:val="Normln"/>
    <w:link w:val="Nadpis2Char"/>
    <w:uiPriority w:val="99"/>
    <w:qFormat/>
    <w:rsid w:val="00EB0E5E"/>
    <w:pPr>
      <w:outlineLvl w:val="1"/>
    </w:pPr>
    <w:rPr>
      <w:rFonts w:ascii="Cambria" w:hAnsi="Cambria" w:cs="Cambria"/>
      <w:b/>
      <w:bCs/>
      <w:i/>
      <w:iCs/>
      <w:sz w:val="28"/>
      <w:szCs w:val="28"/>
    </w:rPr>
  </w:style>
  <w:style w:type="paragraph" w:styleId="Nadpis3">
    <w:name w:val="heading 3"/>
    <w:basedOn w:val="Normln"/>
    <w:next w:val="Normln"/>
    <w:link w:val="Nadpis3Char"/>
    <w:uiPriority w:val="99"/>
    <w:qFormat/>
    <w:rsid w:val="00EB0E5E"/>
    <w:pPr>
      <w:outlineLvl w:val="2"/>
    </w:pPr>
    <w:rPr>
      <w:rFonts w:ascii="Cambria" w:hAnsi="Cambria" w:cs="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EB0E5E"/>
    <w:rPr>
      <w:rFonts w:ascii="Cambria" w:hAnsi="Cambria" w:cs="Cambria"/>
      <w:b/>
      <w:bCs/>
      <w:kern w:val="32"/>
      <w:sz w:val="32"/>
      <w:szCs w:val="32"/>
    </w:rPr>
  </w:style>
  <w:style w:type="character" w:customStyle="1" w:styleId="Nadpis2Char">
    <w:name w:val="Nadpis 2 Char"/>
    <w:basedOn w:val="Standardnpsmoodstavce"/>
    <w:link w:val="Nadpis2"/>
    <w:uiPriority w:val="99"/>
    <w:semiHidden/>
    <w:rsid w:val="00EB0E5E"/>
    <w:rPr>
      <w:rFonts w:ascii="Cambria" w:hAnsi="Cambria" w:cs="Cambria"/>
      <w:b/>
      <w:bCs/>
      <w:i/>
      <w:iCs/>
      <w:sz w:val="28"/>
      <w:szCs w:val="28"/>
    </w:rPr>
  </w:style>
  <w:style w:type="character" w:customStyle="1" w:styleId="Nadpis3Char">
    <w:name w:val="Nadpis 3 Char"/>
    <w:basedOn w:val="Standardnpsmoodstavce"/>
    <w:link w:val="Nadpis3"/>
    <w:uiPriority w:val="99"/>
    <w:semiHidden/>
    <w:rsid w:val="00EB0E5E"/>
    <w:rPr>
      <w:rFonts w:ascii="Cambria" w:hAnsi="Cambria" w:cs="Cambria"/>
      <w:b/>
      <w:bCs/>
      <w:sz w:val="26"/>
      <w:szCs w:val="26"/>
    </w:rPr>
  </w:style>
  <w:style w:type="table" w:styleId="Mkatabulky">
    <w:name w:val="Table Grid"/>
    <w:basedOn w:val="Normlntabulka"/>
    <w:uiPriority w:val="99"/>
    <w:rsid w:val="00225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rsid w:val="00775C36"/>
    <w:pPr>
      <w:tabs>
        <w:tab w:val="center" w:pos="4536"/>
        <w:tab w:val="right" w:pos="9072"/>
      </w:tabs>
    </w:pPr>
  </w:style>
  <w:style w:type="character" w:customStyle="1" w:styleId="ZhlavChar">
    <w:name w:val="Záhlaví Char"/>
    <w:basedOn w:val="Standardnpsmoodstavce"/>
    <w:link w:val="Zhlav"/>
    <w:uiPriority w:val="99"/>
    <w:rsid w:val="00775C36"/>
    <w:rPr>
      <w:sz w:val="24"/>
      <w:szCs w:val="24"/>
    </w:rPr>
  </w:style>
  <w:style w:type="paragraph" w:styleId="Zpat">
    <w:name w:val="footer"/>
    <w:basedOn w:val="Normln"/>
    <w:link w:val="ZpatChar"/>
    <w:uiPriority w:val="99"/>
    <w:rsid w:val="00775C36"/>
    <w:pPr>
      <w:tabs>
        <w:tab w:val="center" w:pos="4536"/>
        <w:tab w:val="right" w:pos="9072"/>
      </w:tabs>
    </w:pPr>
  </w:style>
  <w:style w:type="character" w:customStyle="1" w:styleId="ZpatChar">
    <w:name w:val="Zápatí Char"/>
    <w:basedOn w:val="Standardnpsmoodstavce"/>
    <w:link w:val="Zpat"/>
    <w:uiPriority w:val="99"/>
    <w:rsid w:val="00775C36"/>
    <w:rPr>
      <w:sz w:val="24"/>
      <w:szCs w:val="24"/>
    </w:rPr>
  </w:style>
  <w:style w:type="paragraph" w:styleId="Textbubliny">
    <w:name w:val="Balloon Text"/>
    <w:basedOn w:val="Normln"/>
    <w:link w:val="TextbublinyChar"/>
    <w:uiPriority w:val="99"/>
    <w:semiHidden/>
    <w:rsid w:val="00C04B00"/>
    <w:rPr>
      <w:rFonts w:ascii="Tahoma" w:hAnsi="Tahoma" w:cs="Tahoma"/>
      <w:sz w:val="16"/>
      <w:szCs w:val="16"/>
    </w:rPr>
  </w:style>
  <w:style w:type="character" w:customStyle="1" w:styleId="TextbublinyChar">
    <w:name w:val="Text bubliny Char"/>
    <w:basedOn w:val="Standardnpsmoodstavce"/>
    <w:link w:val="Textbubliny"/>
    <w:uiPriority w:val="99"/>
    <w:semiHidden/>
    <w:rsid w:val="00C04B00"/>
    <w:rPr>
      <w:rFonts w:ascii="Tahoma" w:hAnsi="Tahoma" w:cs="Tahoma"/>
      <w:sz w:val="16"/>
      <w:szCs w:val="16"/>
    </w:rPr>
  </w:style>
  <w:style w:type="paragraph" w:customStyle="1" w:styleId="Char">
    <w:name w:val="Char"/>
    <w:basedOn w:val="Normln"/>
    <w:uiPriority w:val="99"/>
    <w:rsid w:val="00037E2B"/>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customStyle="1" w:styleId="Default">
    <w:name w:val="Default"/>
    <w:uiPriority w:val="99"/>
    <w:rsid w:val="00037E2B"/>
    <w:pPr>
      <w:autoSpaceDE w:val="0"/>
      <w:autoSpaceDN w:val="0"/>
      <w:adjustRightInd w:val="0"/>
    </w:pPr>
    <w:rPr>
      <w:color w:val="000000"/>
      <w:sz w:val="24"/>
      <w:szCs w:val="24"/>
    </w:rPr>
  </w:style>
  <w:style w:type="paragraph" w:customStyle="1" w:styleId="CharCharCharCharCharCharChar">
    <w:name w:val="Char Char Char Char Char Char Char"/>
    <w:basedOn w:val="Normln"/>
    <w:uiPriority w:val="99"/>
    <w:rsid w:val="00037E2B"/>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customStyle="1" w:styleId="CharChar1CharCharCharCharCharChar2CharCharCharCharCharCharCharCharChar1">
    <w:name w:val="Char Char1 Char Char Char Char Char Char2 Char Char Char Char Char Char Char Char Char1"/>
    <w:basedOn w:val="Normln"/>
    <w:uiPriority w:val="99"/>
    <w:rsid w:val="00037E2B"/>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styleId="Zkladntext">
    <w:name w:val="Body Text"/>
    <w:basedOn w:val="Normln"/>
    <w:link w:val="ZkladntextChar1"/>
    <w:uiPriority w:val="99"/>
    <w:rsid w:val="00037E2B"/>
    <w:pPr>
      <w:widowControl/>
      <w:autoSpaceDE/>
      <w:autoSpaceDN/>
      <w:adjustRightInd/>
      <w:spacing w:after="120"/>
      <w:outlineLvl w:val="9"/>
    </w:pPr>
  </w:style>
  <w:style w:type="character" w:customStyle="1" w:styleId="ZkladntextChar1">
    <w:name w:val="Základní text Char1"/>
    <w:basedOn w:val="Standardnpsmoodstavce"/>
    <w:link w:val="Zkladntext"/>
    <w:uiPriority w:val="99"/>
    <w:rsid w:val="00037E2B"/>
    <w:rPr>
      <w:sz w:val="24"/>
      <w:szCs w:val="24"/>
    </w:rPr>
  </w:style>
  <w:style w:type="character" w:customStyle="1" w:styleId="ZkladntextChar">
    <w:name w:val="Základní text Char"/>
    <w:basedOn w:val="Standardnpsmoodstavce"/>
    <w:uiPriority w:val="99"/>
    <w:semiHidden/>
    <w:rsid w:val="00037E2B"/>
    <w:rPr>
      <w:sz w:val="24"/>
      <w:szCs w:val="24"/>
    </w:rPr>
  </w:style>
  <w:style w:type="paragraph" w:customStyle="1" w:styleId="1">
    <w:name w:val="1"/>
    <w:basedOn w:val="Normln"/>
    <w:uiPriority w:val="99"/>
    <w:rsid w:val="00037E2B"/>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customStyle="1" w:styleId="Normln1">
    <w:name w:val="Normální 1"/>
    <w:basedOn w:val="Normln"/>
    <w:uiPriority w:val="99"/>
    <w:rsid w:val="00037E2B"/>
    <w:pPr>
      <w:widowControl/>
      <w:tabs>
        <w:tab w:val="left" w:pos="1928"/>
      </w:tabs>
      <w:autoSpaceDE/>
      <w:autoSpaceDN/>
      <w:adjustRightInd/>
      <w:spacing w:line="340" w:lineRule="atLeast"/>
      <w:outlineLvl w:val="9"/>
    </w:pPr>
    <w:rPr>
      <w:sz w:val="22"/>
      <w:szCs w:val="22"/>
    </w:rPr>
  </w:style>
  <w:style w:type="paragraph" w:customStyle="1" w:styleId="Char4CharChar5">
    <w:name w:val="Char4 Char Char5"/>
    <w:basedOn w:val="Normln"/>
    <w:uiPriority w:val="99"/>
    <w:rsid w:val="00037E2B"/>
    <w:pPr>
      <w:widowControl/>
      <w:autoSpaceDE/>
      <w:autoSpaceDN/>
      <w:adjustRightInd/>
      <w:spacing w:after="160" w:line="240" w:lineRule="exact"/>
      <w:outlineLvl w:val="9"/>
    </w:pPr>
    <w:rPr>
      <w:rFonts w:ascii="Times New Roman Bold" w:hAnsi="Times New Roman Bold" w:cs="Times New Roman Bold"/>
      <w:sz w:val="22"/>
      <w:szCs w:val="22"/>
      <w:lang w:val="sk-SK" w:eastAsia="en-US"/>
    </w:rPr>
  </w:style>
  <w:style w:type="character" w:styleId="Hypertextovodkaz">
    <w:name w:val="Hyperlink"/>
    <w:basedOn w:val="Standardnpsmoodstavce"/>
    <w:uiPriority w:val="99"/>
    <w:rsid w:val="00037E2B"/>
    <w:rPr>
      <w:color w:val="0000FF"/>
      <w:u w:val="single"/>
    </w:rPr>
  </w:style>
  <w:style w:type="paragraph" w:customStyle="1" w:styleId="Odstavec">
    <w:name w:val="Odstavec"/>
    <w:basedOn w:val="Normln"/>
    <w:link w:val="OdstavecChar"/>
    <w:uiPriority w:val="99"/>
    <w:rsid w:val="00037E2B"/>
    <w:pPr>
      <w:widowControl/>
      <w:autoSpaceDE/>
      <w:autoSpaceDN/>
      <w:adjustRightInd/>
      <w:spacing w:line="288" w:lineRule="auto"/>
      <w:ind w:firstLine="425"/>
      <w:jc w:val="both"/>
      <w:outlineLvl w:val="9"/>
    </w:pPr>
  </w:style>
  <w:style w:type="character" w:customStyle="1" w:styleId="OdstavecChar">
    <w:name w:val="Odstavec Char"/>
    <w:link w:val="Odstavec"/>
    <w:uiPriority w:val="99"/>
    <w:rsid w:val="00037E2B"/>
    <w:rPr>
      <w:sz w:val="24"/>
      <w:szCs w:val="24"/>
    </w:rPr>
  </w:style>
  <w:style w:type="paragraph" w:customStyle="1" w:styleId="Normlnweb19">
    <w:name w:val="Normální (web)19"/>
    <w:basedOn w:val="Normln"/>
    <w:uiPriority w:val="99"/>
    <w:rsid w:val="00037E2B"/>
    <w:pPr>
      <w:widowControl/>
      <w:autoSpaceDE/>
      <w:autoSpaceDN/>
      <w:adjustRightInd/>
      <w:outlineLvl w:val="9"/>
    </w:pPr>
  </w:style>
  <w:style w:type="character" w:customStyle="1" w:styleId="Siln4">
    <w:name w:val="Silné4"/>
    <w:uiPriority w:val="99"/>
    <w:rsid w:val="00037E2B"/>
    <w:rPr>
      <w:b/>
      <w:bCs/>
    </w:rPr>
  </w:style>
  <w:style w:type="paragraph" w:customStyle="1" w:styleId="Char4CharChar">
    <w:name w:val="Char4 Char Char"/>
    <w:basedOn w:val="Normln"/>
    <w:uiPriority w:val="99"/>
    <w:rsid w:val="00037E2B"/>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styleId="Odstavecseseznamem">
    <w:name w:val="List Paragraph"/>
    <w:basedOn w:val="Normln"/>
    <w:uiPriority w:val="99"/>
    <w:qFormat/>
    <w:rsid w:val="00C50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504452">
      <w:marLeft w:val="0"/>
      <w:marRight w:val="0"/>
      <w:marTop w:val="0"/>
      <w:marBottom w:val="0"/>
      <w:divBdr>
        <w:top w:val="none" w:sz="0" w:space="0" w:color="auto"/>
        <w:left w:val="none" w:sz="0" w:space="0" w:color="auto"/>
        <w:bottom w:val="none" w:sz="0" w:space="0" w:color="auto"/>
        <w:right w:val="none" w:sz="0" w:space="0" w:color="auto"/>
      </w:divBdr>
    </w:div>
    <w:div w:id="1679504453">
      <w:marLeft w:val="0"/>
      <w:marRight w:val="0"/>
      <w:marTop w:val="0"/>
      <w:marBottom w:val="0"/>
      <w:divBdr>
        <w:top w:val="none" w:sz="0" w:space="0" w:color="auto"/>
        <w:left w:val="none" w:sz="0" w:space="0" w:color="auto"/>
        <w:bottom w:val="none" w:sz="0" w:space="0" w:color="auto"/>
        <w:right w:val="none" w:sz="0" w:space="0" w:color="auto"/>
      </w:divBdr>
    </w:div>
    <w:div w:id="1679504454">
      <w:marLeft w:val="0"/>
      <w:marRight w:val="0"/>
      <w:marTop w:val="0"/>
      <w:marBottom w:val="0"/>
      <w:divBdr>
        <w:top w:val="none" w:sz="0" w:space="0" w:color="auto"/>
        <w:left w:val="none" w:sz="0" w:space="0" w:color="auto"/>
        <w:bottom w:val="none" w:sz="0" w:space="0" w:color="auto"/>
        <w:right w:val="none" w:sz="0" w:space="0" w:color="auto"/>
      </w:divBdr>
    </w:div>
    <w:div w:id="1679504455">
      <w:marLeft w:val="0"/>
      <w:marRight w:val="0"/>
      <w:marTop w:val="0"/>
      <w:marBottom w:val="0"/>
      <w:divBdr>
        <w:top w:val="none" w:sz="0" w:space="0" w:color="auto"/>
        <w:left w:val="none" w:sz="0" w:space="0" w:color="auto"/>
        <w:bottom w:val="none" w:sz="0" w:space="0" w:color="auto"/>
        <w:right w:val="none" w:sz="0" w:space="0" w:color="auto"/>
      </w:divBdr>
    </w:div>
    <w:div w:id="1679504456">
      <w:marLeft w:val="0"/>
      <w:marRight w:val="0"/>
      <w:marTop w:val="0"/>
      <w:marBottom w:val="0"/>
      <w:divBdr>
        <w:top w:val="none" w:sz="0" w:space="0" w:color="auto"/>
        <w:left w:val="none" w:sz="0" w:space="0" w:color="auto"/>
        <w:bottom w:val="none" w:sz="0" w:space="0" w:color="auto"/>
        <w:right w:val="none" w:sz="0" w:space="0" w:color="auto"/>
      </w:divBdr>
    </w:div>
    <w:div w:id="1679504457">
      <w:marLeft w:val="0"/>
      <w:marRight w:val="0"/>
      <w:marTop w:val="0"/>
      <w:marBottom w:val="0"/>
      <w:divBdr>
        <w:top w:val="none" w:sz="0" w:space="0" w:color="auto"/>
        <w:left w:val="none" w:sz="0" w:space="0" w:color="auto"/>
        <w:bottom w:val="none" w:sz="0" w:space="0" w:color="auto"/>
        <w:right w:val="none" w:sz="0" w:space="0" w:color="auto"/>
      </w:divBdr>
    </w:div>
    <w:div w:id="1679504458">
      <w:marLeft w:val="0"/>
      <w:marRight w:val="0"/>
      <w:marTop w:val="0"/>
      <w:marBottom w:val="0"/>
      <w:divBdr>
        <w:top w:val="none" w:sz="0" w:space="0" w:color="auto"/>
        <w:left w:val="none" w:sz="0" w:space="0" w:color="auto"/>
        <w:bottom w:val="none" w:sz="0" w:space="0" w:color="auto"/>
        <w:right w:val="none" w:sz="0" w:space="0" w:color="auto"/>
      </w:divBdr>
    </w:div>
    <w:div w:id="1679504459">
      <w:marLeft w:val="0"/>
      <w:marRight w:val="0"/>
      <w:marTop w:val="0"/>
      <w:marBottom w:val="0"/>
      <w:divBdr>
        <w:top w:val="none" w:sz="0" w:space="0" w:color="auto"/>
        <w:left w:val="none" w:sz="0" w:space="0" w:color="auto"/>
        <w:bottom w:val="none" w:sz="0" w:space="0" w:color="auto"/>
        <w:right w:val="none" w:sz="0" w:space="0" w:color="auto"/>
      </w:divBdr>
    </w:div>
    <w:div w:id="1679504460">
      <w:marLeft w:val="0"/>
      <w:marRight w:val="0"/>
      <w:marTop w:val="0"/>
      <w:marBottom w:val="0"/>
      <w:divBdr>
        <w:top w:val="none" w:sz="0" w:space="0" w:color="auto"/>
        <w:left w:val="none" w:sz="0" w:space="0" w:color="auto"/>
        <w:bottom w:val="none" w:sz="0" w:space="0" w:color="auto"/>
        <w:right w:val="none" w:sz="0" w:space="0" w:color="auto"/>
      </w:divBdr>
    </w:div>
    <w:div w:id="1679504461">
      <w:marLeft w:val="0"/>
      <w:marRight w:val="0"/>
      <w:marTop w:val="0"/>
      <w:marBottom w:val="0"/>
      <w:divBdr>
        <w:top w:val="none" w:sz="0" w:space="0" w:color="auto"/>
        <w:left w:val="none" w:sz="0" w:space="0" w:color="auto"/>
        <w:bottom w:val="none" w:sz="0" w:space="0" w:color="auto"/>
        <w:right w:val="none" w:sz="0" w:space="0" w:color="auto"/>
      </w:divBdr>
    </w:div>
    <w:div w:id="16795044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814F0-C97C-4A6B-A099-E508C828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3183</Words>
  <Characters>18781</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Datum zasedání: 10</vt:lpstr>
    </vt:vector>
  </TitlesOfParts>
  <Company>Infinity</Company>
  <LinksUpToDate>false</LinksUpToDate>
  <CharactersWithSpaces>21921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zasedání: 10</dc:title>
  <dc:subject/>
  <dc:creator>uzivatel01</dc:creator>
  <cp:keywords/>
  <dc:description/>
  <cp:lastModifiedBy>Truhlář Jan</cp:lastModifiedBy>
  <cp:revision>2</cp:revision>
  <cp:lastPrinted>2015-06-03T06:54:00Z</cp:lastPrinted>
  <dcterms:created xsi:type="dcterms:W3CDTF">2015-06-03T06:56:00Z</dcterms:created>
  <dcterms:modified xsi:type="dcterms:W3CDTF">2015-06-03T06:56:00Z</dcterms:modified>
</cp:coreProperties>
</file>